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12" w:type="dxa"/>
        <w:tblInd w:w="-489" w:type="dxa"/>
        <w:tblLayout w:type="fixed"/>
        <w:tblLook w:val="01E0" w:firstRow="1" w:lastRow="1" w:firstColumn="1" w:lastColumn="1" w:noHBand="0" w:noVBand="0"/>
      </w:tblPr>
      <w:tblGrid>
        <w:gridCol w:w="2628"/>
        <w:gridCol w:w="8884"/>
      </w:tblGrid>
      <w:tr w:rsidR="00467D0D" w:rsidRPr="00EA4B0B">
        <w:tc>
          <w:tcPr>
            <w:tcW w:w="2628" w:type="dxa"/>
            <w:shd w:val="clear" w:color="auto" w:fill="003399"/>
          </w:tcPr>
          <w:p w:rsidR="00467D0D" w:rsidRPr="00EA4B0B" w:rsidRDefault="00467D0D" w:rsidP="00467D0D">
            <w:pPr>
              <w:pStyle w:val="BodyText"/>
            </w:pPr>
            <w:bookmarkStart w:id="0" w:name="_GoBack"/>
            <w:bookmarkEnd w:id="0"/>
          </w:p>
        </w:tc>
        <w:tc>
          <w:tcPr>
            <w:tcW w:w="8884" w:type="dxa"/>
            <w:shd w:val="clear" w:color="auto" w:fill="003399"/>
          </w:tcPr>
          <w:p w:rsidR="00467D0D" w:rsidRPr="00EA4B0B" w:rsidRDefault="00467D0D" w:rsidP="00467D0D">
            <w:pPr>
              <w:pStyle w:val="BodyText"/>
            </w:pPr>
          </w:p>
        </w:tc>
      </w:tr>
      <w:tr w:rsidR="00467D0D" w:rsidRPr="00EA4B0B">
        <w:trPr>
          <w:trHeight w:val="1440"/>
        </w:trPr>
        <w:tc>
          <w:tcPr>
            <w:tcW w:w="2628" w:type="dxa"/>
            <w:vAlign w:val="center"/>
          </w:tcPr>
          <w:p w:rsidR="00467D0D" w:rsidRPr="00EA4B0B" w:rsidRDefault="00732CB1" w:rsidP="00732CB1">
            <w:pPr>
              <w:pStyle w:val="NewsletterTitle"/>
              <w:rPr>
                <w:color w:val="auto"/>
              </w:rPr>
            </w:pPr>
            <w:r>
              <w:object w:dxaOrig="4875" w:dyaOrig="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4pt;height:74.4pt" o:ole="">
                  <v:imagedata r:id="rId8" o:title=""/>
                </v:shape>
                <o:OLEObject Type="Embed" ProgID="PBrush" ShapeID="_x0000_i1025" DrawAspect="Content" ObjectID="_1507288912" r:id="rId9"/>
              </w:object>
            </w:r>
          </w:p>
        </w:tc>
        <w:tc>
          <w:tcPr>
            <w:tcW w:w="8884" w:type="dxa"/>
            <w:vAlign w:val="center"/>
          </w:tcPr>
          <w:p w:rsidR="009978C1" w:rsidRDefault="009978C1" w:rsidP="009978C1">
            <w:pPr>
              <w:pStyle w:val="NewsletterTitle"/>
              <w:rPr>
                <w:rFonts w:ascii="Verdana" w:hAnsi="Verdana"/>
                <w:b/>
                <w:color w:val="auto"/>
                <w:sz w:val="40"/>
                <w:szCs w:val="40"/>
                <w:u w:val="single"/>
              </w:rPr>
            </w:pPr>
            <w:r>
              <w:rPr>
                <w:rFonts w:ascii="Verdana" w:hAnsi="Verdana"/>
                <w:b/>
                <w:color w:val="auto"/>
                <w:sz w:val="40"/>
                <w:szCs w:val="40"/>
                <w:u w:val="single"/>
              </w:rPr>
              <w:t>MGSE Grade 5</w:t>
            </w:r>
            <w:r w:rsidR="00EA4B0B" w:rsidRPr="00D11DF9">
              <w:rPr>
                <w:rFonts w:ascii="Verdana" w:hAnsi="Verdana"/>
                <w:b/>
                <w:color w:val="auto"/>
                <w:sz w:val="40"/>
                <w:szCs w:val="40"/>
                <w:u w:val="single"/>
              </w:rPr>
              <w:t xml:space="preserve"> Unit </w:t>
            </w:r>
            <w:r w:rsidR="00204C52">
              <w:rPr>
                <w:rFonts w:ascii="Verdana" w:hAnsi="Verdana"/>
                <w:b/>
                <w:color w:val="auto"/>
                <w:sz w:val="40"/>
                <w:szCs w:val="40"/>
                <w:u w:val="single"/>
              </w:rPr>
              <w:t>4</w:t>
            </w:r>
          </w:p>
          <w:p w:rsidR="00467D0D" w:rsidRPr="0009719E" w:rsidRDefault="00204C52" w:rsidP="009978C1">
            <w:pPr>
              <w:pStyle w:val="NewsletterTitle"/>
              <w:rPr>
                <w:color w:val="auto"/>
              </w:rPr>
            </w:pPr>
            <w:r>
              <w:rPr>
                <w:rFonts w:ascii="Verdana" w:hAnsi="Verdana"/>
                <w:b/>
                <w:color w:val="auto"/>
                <w:sz w:val="40"/>
                <w:szCs w:val="40"/>
              </w:rPr>
              <w:t>Adding, Subtracting, Multiplying and Dividing Fractions</w:t>
            </w:r>
          </w:p>
        </w:tc>
      </w:tr>
      <w:tr w:rsidR="00467D0D" w:rsidRPr="00EA4B0B">
        <w:trPr>
          <w:trHeight w:val="80"/>
        </w:trPr>
        <w:tc>
          <w:tcPr>
            <w:tcW w:w="2628" w:type="dxa"/>
            <w:shd w:val="clear" w:color="auto" w:fill="003399"/>
          </w:tcPr>
          <w:p w:rsidR="00467D0D" w:rsidRPr="00EA4B0B" w:rsidRDefault="00DE0066" w:rsidP="00AF6CF1">
            <w:pPr>
              <w:pStyle w:val="NewsletterDate"/>
              <w:rPr>
                <w:color w:val="auto"/>
              </w:rPr>
            </w:pPr>
            <w:r w:rsidRPr="00EA4B0B">
              <w:rPr>
                <w:color w:val="auto"/>
              </w:rPr>
              <w:t>Volume 1</w:t>
            </w:r>
            <w:r>
              <w:rPr>
                <w:color w:val="auto"/>
              </w:rPr>
              <w:t xml:space="preserve"> Issue </w:t>
            </w:r>
            <w:r w:rsidR="00AF6CF1">
              <w:rPr>
                <w:color w:val="auto"/>
              </w:rPr>
              <w:t>4</w:t>
            </w:r>
          </w:p>
        </w:tc>
        <w:tc>
          <w:tcPr>
            <w:tcW w:w="8884" w:type="dxa"/>
            <w:shd w:val="clear" w:color="auto" w:fill="003399"/>
          </w:tcPr>
          <w:p w:rsidR="00467D0D" w:rsidRPr="00EA4B0B" w:rsidRDefault="00467D0D" w:rsidP="00DB5848">
            <w:pPr>
              <w:pStyle w:val="VolumeandIssue"/>
              <w:rPr>
                <w:color w:val="auto"/>
              </w:rPr>
            </w:pPr>
          </w:p>
        </w:tc>
      </w:tr>
    </w:tbl>
    <w:p w:rsidR="004A6D92" w:rsidRDefault="004A6D92"/>
    <w:tbl>
      <w:tblPr>
        <w:tblW w:w="11512" w:type="dxa"/>
        <w:tblInd w:w="-489" w:type="dxa"/>
        <w:tblLayout w:type="fixed"/>
        <w:tblLook w:val="01E0" w:firstRow="1" w:lastRow="1" w:firstColumn="1" w:lastColumn="1" w:noHBand="0" w:noVBand="0"/>
      </w:tblPr>
      <w:tblGrid>
        <w:gridCol w:w="237"/>
        <w:gridCol w:w="2340"/>
        <w:gridCol w:w="51"/>
        <w:gridCol w:w="8884"/>
      </w:tblGrid>
      <w:tr w:rsidR="008E395A" w:rsidRPr="00EA4B0B">
        <w:tc>
          <w:tcPr>
            <w:tcW w:w="2628" w:type="dxa"/>
            <w:gridSpan w:val="3"/>
            <w:shd w:val="clear" w:color="auto" w:fill="auto"/>
          </w:tcPr>
          <w:p w:rsidR="00EA4B0B" w:rsidRPr="00DB5848" w:rsidRDefault="00EA4B0B" w:rsidP="00EA4B0B">
            <w:pPr>
              <w:jc w:val="center"/>
              <w:rPr>
                <w:rFonts w:ascii="Trebuchet MS" w:hAnsi="Trebuchet MS"/>
                <w:b/>
                <w:sz w:val="36"/>
              </w:rPr>
            </w:pPr>
            <w:r w:rsidRPr="00DB5848">
              <w:rPr>
                <w:rFonts w:ascii="Trebuchet MS" w:hAnsi="Trebuchet MS"/>
                <w:b/>
                <w:sz w:val="36"/>
              </w:rPr>
              <w:t>References</w:t>
            </w:r>
          </w:p>
          <w:p w:rsidR="00EF2D07" w:rsidRPr="00EA4B0B" w:rsidRDefault="00EA4B0B" w:rsidP="00785129">
            <w:pPr>
              <w:pStyle w:val="SideBarHeading"/>
              <w:rPr>
                <w:color w:val="auto"/>
              </w:rPr>
            </w:pPr>
            <w:r w:rsidRPr="00EA4B0B">
              <w:rPr>
                <w:color w:val="auto"/>
              </w:rPr>
              <w:t>Helpful Links</w:t>
            </w:r>
            <w:r w:rsidR="007011D1">
              <w:rPr>
                <w:color w:val="auto"/>
              </w:rPr>
              <w:t>:</w:t>
            </w:r>
          </w:p>
          <w:p w:rsidR="00EA4B0B" w:rsidRDefault="00EA4B0B" w:rsidP="00EA4B0B">
            <w:pPr>
              <w:pStyle w:val="NormalWeb"/>
              <w:spacing w:before="0" w:beforeAutospacing="0" w:after="0" w:afterAutospacing="0"/>
              <w:rPr>
                <w:rFonts w:ascii="Verdana" w:hAnsi="Verdana"/>
                <w:sz w:val="18"/>
                <w:szCs w:val="18"/>
              </w:rPr>
            </w:pPr>
          </w:p>
          <w:p w:rsidR="00EC0E58" w:rsidRDefault="005E2327" w:rsidP="00EA4B0B">
            <w:pPr>
              <w:pStyle w:val="NormalWeb"/>
              <w:spacing w:before="0" w:beforeAutospacing="0" w:after="0" w:afterAutospacing="0"/>
            </w:pPr>
            <w:hyperlink r:id="rId10" w:history="1">
              <w:r w:rsidRPr="00404043">
                <w:rPr>
                  <w:rStyle w:val="Hyperlink"/>
                  <w:rFonts w:ascii="Times New Roman" w:hAnsi="Times New Roman"/>
                  <w:sz w:val="24"/>
                  <w:szCs w:val="24"/>
                </w:rPr>
                <w:t>https://smart.wikispaces.hcpss.org/Grade+5+Number+and+Operations+Fractions</w:t>
              </w:r>
            </w:hyperlink>
            <w:r>
              <w:t xml:space="preserve"> </w:t>
            </w:r>
          </w:p>
          <w:p w:rsidR="005E2327" w:rsidRDefault="005E2327" w:rsidP="00EA4B0B">
            <w:pPr>
              <w:pStyle w:val="NormalWeb"/>
              <w:spacing w:before="0" w:beforeAutospacing="0" w:after="0" w:afterAutospacing="0"/>
              <w:rPr>
                <w:rStyle w:val="Hyperlink"/>
              </w:rPr>
            </w:pPr>
          </w:p>
          <w:p w:rsidR="005E2327" w:rsidRDefault="005E2327" w:rsidP="00EA4B0B">
            <w:pPr>
              <w:pStyle w:val="NormalWeb"/>
              <w:spacing w:before="0" w:beforeAutospacing="0" w:after="0" w:afterAutospacing="0"/>
              <w:rPr>
                <w:rStyle w:val="Hyperlink"/>
              </w:rPr>
            </w:pPr>
            <w:hyperlink r:id="rId11" w:history="1">
              <w:r w:rsidRPr="00404043">
                <w:rPr>
                  <w:rStyle w:val="Hyperlink"/>
                </w:rPr>
                <w:t>http://www.arcademics.com/games/dirt-bike-comparing-fractions/dirt-bike-comparing-fractions.html</w:t>
              </w:r>
            </w:hyperlink>
            <w:r>
              <w:rPr>
                <w:rStyle w:val="Hyperlink"/>
              </w:rPr>
              <w:t xml:space="preserve"> </w:t>
            </w:r>
          </w:p>
          <w:p w:rsidR="005E2327" w:rsidRDefault="005E2327" w:rsidP="00EA4B0B">
            <w:pPr>
              <w:pStyle w:val="NormalWeb"/>
              <w:spacing w:before="0" w:beforeAutospacing="0" w:after="0" w:afterAutospacing="0"/>
              <w:rPr>
                <w:rStyle w:val="Hyperlink"/>
              </w:rPr>
            </w:pPr>
          </w:p>
          <w:p w:rsidR="005E2327" w:rsidRDefault="005E2327" w:rsidP="00EA4B0B">
            <w:pPr>
              <w:pStyle w:val="NormalWeb"/>
              <w:spacing w:before="0" w:beforeAutospacing="0" w:after="0" w:afterAutospacing="0"/>
              <w:rPr>
                <w:rStyle w:val="Hyperlink"/>
              </w:rPr>
            </w:pPr>
            <w:hyperlink r:id="rId12" w:history="1">
              <w:r w:rsidRPr="00404043">
                <w:rPr>
                  <w:rStyle w:val="Hyperlink"/>
                </w:rPr>
                <w:t>http://www.counton.org/games/map-fractions/falling/</w:t>
              </w:r>
            </w:hyperlink>
          </w:p>
          <w:p w:rsidR="005E2327" w:rsidRDefault="005E2327" w:rsidP="00EA4B0B">
            <w:pPr>
              <w:pStyle w:val="NormalWeb"/>
              <w:spacing w:before="0" w:beforeAutospacing="0" w:after="0" w:afterAutospacing="0"/>
              <w:rPr>
                <w:rStyle w:val="Hyperlink"/>
              </w:rPr>
            </w:pPr>
          </w:p>
          <w:p w:rsidR="005E2327" w:rsidRDefault="005E2327" w:rsidP="00EA4B0B">
            <w:pPr>
              <w:pStyle w:val="NormalWeb"/>
              <w:spacing w:before="0" w:beforeAutospacing="0" w:after="0" w:afterAutospacing="0"/>
              <w:rPr>
                <w:rStyle w:val="Hyperlink"/>
              </w:rPr>
            </w:pPr>
            <w:hyperlink r:id="rId13" w:history="1">
              <w:r w:rsidRPr="00404043">
                <w:rPr>
                  <w:rStyle w:val="Hyperlink"/>
                </w:rPr>
                <w:t>http://www.mathplayground.com/Fraction_bars.html</w:t>
              </w:r>
            </w:hyperlink>
          </w:p>
          <w:p w:rsidR="005E2327" w:rsidRDefault="005E2327" w:rsidP="00EA4B0B">
            <w:pPr>
              <w:pStyle w:val="NormalWeb"/>
              <w:spacing w:before="0" w:beforeAutospacing="0" w:after="0" w:afterAutospacing="0"/>
              <w:rPr>
                <w:rStyle w:val="Hyperlink"/>
              </w:rPr>
            </w:pPr>
          </w:p>
          <w:p w:rsidR="005E2327" w:rsidRDefault="005E2327" w:rsidP="00EA4B0B">
            <w:pPr>
              <w:pStyle w:val="NormalWeb"/>
              <w:spacing w:before="0" w:beforeAutospacing="0" w:after="0" w:afterAutospacing="0"/>
              <w:rPr>
                <w:rStyle w:val="Hyperlink"/>
              </w:rPr>
            </w:pPr>
            <w:hyperlink r:id="rId14" w:history="1">
              <w:r w:rsidRPr="00404043">
                <w:rPr>
                  <w:rStyle w:val="Hyperlink"/>
                </w:rPr>
                <w:t>https://smart.wikispaces.hcpss.org/iTunes+Intermediate+Apps</w:t>
              </w:r>
            </w:hyperlink>
          </w:p>
          <w:p w:rsidR="00ED33BD" w:rsidRPr="003A126B" w:rsidRDefault="009978C1" w:rsidP="00ED33BD">
            <w:pPr>
              <w:pStyle w:val="SideBarHeading"/>
              <w:rPr>
                <w:color w:val="auto"/>
                <w:szCs w:val="22"/>
              </w:rPr>
            </w:pPr>
            <w:r>
              <w:rPr>
                <w:color w:val="auto"/>
                <w:szCs w:val="22"/>
              </w:rPr>
              <w:t>M</w:t>
            </w:r>
            <w:r w:rsidR="00356B7C">
              <w:rPr>
                <w:color w:val="auto"/>
                <w:szCs w:val="22"/>
              </w:rPr>
              <w:t xml:space="preserve">ath Grade </w:t>
            </w:r>
            <w:r w:rsidR="003A126B">
              <w:rPr>
                <w:color w:val="auto"/>
                <w:szCs w:val="22"/>
              </w:rPr>
              <w:t xml:space="preserve">5    </w:t>
            </w:r>
            <w:r w:rsidR="00EF2D07" w:rsidRPr="00D278A8">
              <w:rPr>
                <w:color w:val="auto"/>
                <w:sz w:val="20"/>
                <w:szCs w:val="20"/>
              </w:rPr>
              <w:t>Textbook Connection</w:t>
            </w:r>
            <w:r w:rsidR="00EF2D07">
              <w:rPr>
                <w:color w:val="auto"/>
              </w:rPr>
              <w:t>:</w:t>
            </w:r>
          </w:p>
          <w:p w:rsidR="00AD5B04" w:rsidRDefault="003A126B" w:rsidP="00724A3B">
            <w:pPr>
              <w:rPr>
                <w:rFonts w:ascii="Verdana" w:hAnsi="Verdana"/>
                <w:sz w:val="18"/>
                <w:szCs w:val="18"/>
              </w:rPr>
            </w:pPr>
            <w:r>
              <w:rPr>
                <w:rFonts w:ascii="Verdana" w:hAnsi="Verdana"/>
                <w:sz w:val="18"/>
                <w:szCs w:val="18"/>
              </w:rPr>
              <w:t xml:space="preserve">Ch. </w:t>
            </w:r>
            <w:r w:rsidR="005E2327">
              <w:rPr>
                <w:rFonts w:ascii="Verdana" w:hAnsi="Verdana"/>
                <w:sz w:val="18"/>
                <w:szCs w:val="18"/>
              </w:rPr>
              <w:t>8</w:t>
            </w:r>
            <w:r>
              <w:rPr>
                <w:rFonts w:ascii="Verdana" w:hAnsi="Verdana"/>
                <w:sz w:val="18"/>
                <w:szCs w:val="18"/>
              </w:rPr>
              <w:t xml:space="preserve">, Lessons </w:t>
            </w:r>
            <w:r w:rsidR="005E2327">
              <w:rPr>
                <w:rFonts w:ascii="Verdana" w:hAnsi="Verdana"/>
                <w:sz w:val="18"/>
                <w:szCs w:val="18"/>
              </w:rPr>
              <w:t>1, 2, 6 &amp; 7</w:t>
            </w:r>
          </w:p>
          <w:p w:rsidR="005E2327" w:rsidRDefault="005E2327" w:rsidP="00724A3B">
            <w:pPr>
              <w:rPr>
                <w:rFonts w:ascii="Verdana" w:hAnsi="Verdana"/>
                <w:sz w:val="18"/>
                <w:szCs w:val="18"/>
              </w:rPr>
            </w:pPr>
            <w:r>
              <w:rPr>
                <w:rFonts w:ascii="Verdana" w:hAnsi="Verdana"/>
                <w:sz w:val="18"/>
                <w:szCs w:val="18"/>
              </w:rPr>
              <w:t>Ch. 9  Lessons 1-11</w:t>
            </w:r>
          </w:p>
          <w:p w:rsidR="00724A3B" w:rsidRPr="00724A3B" w:rsidRDefault="00AD5B04" w:rsidP="00724A3B">
            <w:pPr>
              <w:rPr>
                <w:rFonts w:ascii="Verdana" w:hAnsi="Verdana"/>
                <w:sz w:val="18"/>
                <w:szCs w:val="18"/>
              </w:rPr>
            </w:pPr>
            <w:r>
              <w:rPr>
                <w:rFonts w:ascii="Verdana" w:hAnsi="Verdana"/>
                <w:sz w:val="18"/>
                <w:szCs w:val="18"/>
              </w:rPr>
              <w:t xml:space="preserve">  </w:t>
            </w:r>
          </w:p>
          <w:p w:rsidR="00ED33BD" w:rsidRPr="00EA4B0B" w:rsidRDefault="00EF2D07" w:rsidP="00ED33BD">
            <w:pPr>
              <w:pStyle w:val="SideBarHeading"/>
              <w:rPr>
                <w:color w:val="auto"/>
              </w:rPr>
            </w:pPr>
            <w:r w:rsidRPr="00D278A8">
              <w:rPr>
                <w:color w:val="auto"/>
                <w:sz w:val="20"/>
                <w:szCs w:val="20"/>
              </w:rPr>
              <w:t>Textbook Online</w:t>
            </w:r>
            <w:r w:rsidR="00D278A8">
              <w:rPr>
                <w:color w:val="auto"/>
                <w:sz w:val="20"/>
                <w:szCs w:val="20"/>
              </w:rPr>
              <w:t>:</w:t>
            </w:r>
          </w:p>
          <w:p w:rsidR="003A126B" w:rsidRPr="003A126B" w:rsidRDefault="003A126B" w:rsidP="003A126B">
            <w:pPr>
              <w:rPr>
                <w:rFonts w:ascii="Calibri" w:hAnsi="Calibri" w:cs="Calibri"/>
                <w:b/>
                <w:u w:val="single"/>
              </w:rPr>
            </w:pPr>
            <w:hyperlink r:id="rId15" w:history="1">
              <w:r>
                <w:rPr>
                  <w:rStyle w:val="Hyperlink"/>
                </w:rPr>
                <w:t>http://connected.mcgraw-hill.com/connected/login.do</w:t>
              </w:r>
            </w:hyperlink>
          </w:p>
          <w:p w:rsidR="001F302F" w:rsidRPr="00724A3B" w:rsidRDefault="00CB692C" w:rsidP="005E2327">
            <w:pPr>
              <w:pStyle w:val="Links"/>
              <w:rPr>
                <w:rStyle w:val="Hyperlink"/>
                <w:color w:val="auto"/>
                <w:sz w:val="18"/>
                <w:szCs w:val="18"/>
              </w:rPr>
            </w:pPr>
            <w:r>
              <w:rPr>
                <w:rStyle w:val="Hyperlink"/>
                <w:color w:val="auto"/>
                <w:sz w:val="18"/>
                <w:szCs w:val="18"/>
              </w:rPr>
              <w:t>Ask your teacher for the online passcode.</w:t>
            </w:r>
          </w:p>
        </w:tc>
        <w:tc>
          <w:tcPr>
            <w:tcW w:w="8884" w:type="dxa"/>
            <w:shd w:val="clear" w:color="auto" w:fill="auto"/>
          </w:tcPr>
          <w:p w:rsidR="008E395A" w:rsidRDefault="00EF2D07" w:rsidP="00467D0D">
            <w:pPr>
              <w:pStyle w:val="Heading1"/>
              <w:rPr>
                <w:rFonts w:ascii="Verdana" w:hAnsi="Verdana"/>
                <w:color w:val="auto"/>
              </w:rPr>
            </w:pPr>
            <w:r w:rsidRPr="00A562AF">
              <w:rPr>
                <w:rFonts w:ascii="Verdana" w:hAnsi="Verdana"/>
                <w:color w:val="auto"/>
              </w:rPr>
              <w:t>Dear Parents</w:t>
            </w:r>
            <w:r w:rsidR="003A126B">
              <w:rPr>
                <w:rFonts w:ascii="Verdana" w:hAnsi="Verdana"/>
                <w:color w:val="auto"/>
              </w:rPr>
              <w:t xml:space="preserve">, </w:t>
            </w:r>
          </w:p>
          <w:p w:rsidR="003A126B" w:rsidRPr="003A126B" w:rsidRDefault="003A126B" w:rsidP="003A126B"/>
          <w:p w:rsidR="001F302F" w:rsidRPr="006C7BA3" w:rsidRDefault="0041486E" w:rsidP="006C7BA3">
            <w:pPr>
              <w:pStyle w:val="BodyText"/>
              <w:rPr>
                <w:rFonts w:cs="Segoe UI"/>
                <w:sz w:val="18"/>
                <w:szCs w:val="18"/>
              </w:rPr>
            </w:pPr>
            <w:r>
              <w:rPr>
                <w:rFonts w:cs="Arial"/>
                <w:sz w:val="18"/>
                <w:szCs w:val="18"/>
              </w:rPr>
              <w:t>Your student’s math class is</w:t>
            </w:r>
            <w:r w:rsidR="006C7BA3" w:rsidRPr="006C7BA3">
              <w:rPr>
                <w:rFonts w:cs="Arial"/>
                <w:sz w:val="18"/>
                <w:szCs w:val="18"/>
              </w:rPr>
              <w:t xml:space="preserve"> call</w:t>
            </w:r>
            <w:r>
              <w:rPr>
                <w:rFonts w:cs="Arial"/>
                <w:sz w:val="18"/>
                <w:szCs w:val="18"/>
              </w:rPr>
              <w:t>ing</w:t>
            </w:r>
            <w:r w:rsidR="006C7BA3" w:rsidRPr="006C7BA3">
              <w:rPr>
                <w:rFonts w:cs="Arial"/>
                <w:sz w:val="18"/>
                <w:szCs w:val="18"/>
              </w:rPr>
              <w:t xml:space="preserve"> for students to be actively engaged in doing math in order to learn math. In the classroom, students will frequently work on tasks and activities to discover and apply mathematical thinking. Students will be expected to explain or justify their answers and to write clearly and properly. </w:t>
            </w:r>
            <w:r>
              <w:rPr>
                <w:rFonts w:cs="Arial"/>
                <w:sz w:val="18"/>
                <w:szCs w:val="18"/>
              </w:rPr>
              <w:t>Your students will receive a consumable textbook and online access from their teacher.</w:t>
            </w:r>
          </w:p>
          <w:p w:rsidR="008E395A" w:rsidRDefault="00EF2D07" w:rsidP="00467D0D">
            <w:pPr>
              <w:pStyle w:val="Heading2"/>
              <w:rPr>
                <w:rFonts w:ascii="Verdana" w:hAnsi="Verdana"/>
                <w:color w:val="auto"/>
              </w:rPr>
            </w:pPr>
            <w:r w:rsidRPr="00A562AF">
              <w:rPr>
                <w:rFonts w:ascii="Verdana" w:hAnsi="Verdana"/>
                <w:color w:val="auto"/>
              </w:rPr>
              <w:t xml:space="preserve">Concepts Students </w:t>
            </w:r>
            <w:r w:rsidR="00B3037E" w:rsidRPr="00A562AF">
              <w:rPr>
                <w:rFonts w:ascii="Verdana" w:hAnsi="Verdana"/>
                <w:color w:val="auto"/>
              </w:rPr>
              <w:t xml:space="preserve">will </w:t>
            </w:r>
            <w:r w:rsidRPr="00A562AF">
              <w:rPr>
                <w:rFonts w:ascii="Verdana" w:hAnsi="Verdana"/>
                <w:color w:val="auto"/>
              </w:rPr>
              <w:t>Use and Understand</w:t>
            </w:r>
          </w:p>
          <w:p w:rsidR="00EC0E58" w:rsidRPr="00EC0E58" w:rsidRDefault="00EC0E58" w:rsidP="00EC0E58"/>
          <w:p w:rsidR="009501C1" w:rsidRPr="0094129B" w:rsidRDefault="009501C1" w:rsidP="009501C1">
            <w:pPr>
              <w:numPr>
                <w:ilvl w:val="0"/>
                <w:numId w:val="29"/>
              </w:numPr>
            </w:pPr>
            <w:r w:rsidRPr="0094129B">
              <w:t>Use multiple strategies to find equivalent fractions</w:t>
            </w:r>
          </w:p>
          <w:p w:rsidR="009501C1" w:rsidRPr="0094129B" w:rsidRDefault="009501C1" w:rsidP="009501C1">
            <w:pPr>
              <w:numPr>
                <w:ilvl w:val="0"/>
                <w:numId w:val="29"/>
              </w:numPr>
            </w:pPr>
            <w:r w:rsidRPr="0094129B">
              <w:t>Find and generate equivalent fractions and use them to solve problems</w:t>
            </w:r>
          </w:p>
          <w:p w:rsidR="009501C1" w:rsidRPr="0094129B" w:rsidRDefault="009501C1" w:rsidP="009501C1">
            <w:pPr>
              <w:numPr>
                <w:ilvl w:val="0"/>
                <w:numId w:val="29"/>
              </w:numPr>
            </w:pPr>
            <w:r w:rsidRPr="0094129B">
              <w:t>Simplify fractions</w:t>
            </w:r>
          </w:p>
          <w:p w:rsidR="009501C1" w:rsidRPr="0094129B" w:rsidRDefault="009501C1" w:rsidP="009501C1">
            <w:pPr>
              <w:numPr>
                <w:ilvl w:val="0"/>
                <w:numId w:val="29"/>
              </w:numPr>
            </w:pPr>
            <w:r w:rsidRPr="0094129B">
              <w:t>Use concrete, pictorial, and computational models to find common denominators</w:t>
            </w:r>
          </w:p>
          <w:p w:rsidR="009501C1" w:rsidRPr="0094129B" w:rsidRDefault="009501C1" w:rsidP="009501C1">
            <w:pPr>
              <w:numPr>
                <w:ilvl w:val="0"/>
                <w:numId w:val="29"/>
              </w:numPr>
            </w:pPr>
            <w:r w:rsidRPr="0094129B">
              <w:t>Use fractions (proper and improper) and add and subtract fractions and mixed numbers with unlike denominators to solve problems</w:t>
            </w:r>
          </w:p>
          <w:p w:rsidR="009501C1" w:rsidRPr="0094129B" w:rsidRDefault="009501C1" w:rsidP="009501C1">
            <w:pPr>
              <w:numPr>
                <w:ilvl w:val="0"/>
                <w:numId w:val="29"/>
              </w:numPr>
            </w:pPr>
            <w:r w:rsidRPr="0094129B">
              <w:t xml:space="preserve">Use concrete, pictorial, and computational models to multiply fractions </w:t>
            </w:r>
          </w:p>
          <w:p w:rsidR="009501C1" w:rsidRPr="0094129B" w:rsidRDefault="009501C1" w:rsidP="009501C1">
            <w:pPr>
              <w:numPr>
                <w:ilvl w:val="0"/>
                <w:numId w:val="29"/>
              </w:numPr>
            </w:pPr>
            <w:r w:rsidRPr="0094129B">
              <w:t>Use concrete, pictorial, and computational models to divide unit fractions by whole number and whole numbers by unit fractions</w:t>
            </w:r>
          </w:p>
          <w:p w:rsidR="009501C1" w:rsidRPr="0094129B" w:rsidRDefault="009501C1" w:rsidP="009501C1">
            <w:pPr>
              <w:numPr>
                <w:ilvl w:val="0"/>
                <w:numId w:val="29"/>
              </w:numPr>
            </w:pPr>
            <w:r w:rsidRPr="0094129B">
              <w:t>Estimate products and quotients</w:t>
            </w:r>
          </w:p>
          <w:p w:rsidR="008E395A" w:rsidRDefault="00EF2D07" w:rsidP="00467D0D">
            <w:pPr>
              <w:pStyle w:val="Heading2"/>
              <w:rPr>
                <w:rFonts w:ascii="Verdana" w:hAnsi="Verdana"/>
                <w:color w:val="auto"/>
              </w:rPr>
            </w:pPr>
            <w:r w:rsidRPr="004A6D92">
              <w:rPr>
                <w:rFonts w:ascii="Verdana" w:hAnsi="Verdana"/>
                <w:color w:val="auto"/>
              </w:rPr>
              <w:t>Vocabulary</w:t>
            </w:r>
          </w:p>
          <w:p w:rsidR="003A126B" w:rsidRPr="003A126B" w:rsidRDefault="003A126B" w:rsidP="003A126B"/>
          <w:p w:rsidR="00EC0E58" w:rsidRPr="009501C1" w:rsidRDefault="009501C1" w:rsidP="00E56E4A">
            <w:pPr>
              <w:pStyle w:val="NoSpacing"/>
              <w:numPr>
                <w:ilvl w:val="0"/>
                <w:numId w:val="24"/>
              </w:numPr>
              <w:ind w:left="0"/>
              <w:rPr>
                <w:rFonts w:ascii="Verdana" w:hAnsi="Verdana"/>
                <w:b/>
                <w:sz w:val="18"/>
                <w:szCs w:val="18"/>
              </w:rPr>
            </w:pPr>
            <w:r>
              <w:rPr>
                <w:rFonts w:ascii="Verdana" w:hAnsi="Verdana"/>
                <w:b/>
                <w:sz w:val="18"/>
                <w:szCs w:val="18"/>
              </w:rPr>
              <w:t xml:space="preserve">Denominator:  </w:t>
            </w:r>
            <w:r>
              <w:rPr>
                <w:rFonts w:ascii="Verdana" w:hAnsi="Verdana"/>
                <w:sz w:val="18"/>
                <w:szCs w:val="18"/>
              </w:rPr>
              <w:t>The number below the line in the fraction.  The denominator represents the number of equal pieces the whole is broken into.</w:t>
            </w:r>
          </w:p>
          <w:p w:rsidR="009501C1" w:rsidRDefault="009501C1" w:rsidP="009501C1">
            <w:pPr>
              <w:pStyle w:val="NoSpacing"/>
              <w:rPr>
                <w:rFonts w:ascii="Verdana" w:hAnsi="Verdana"/>
                <w:b/>
                <w:sz w:val="18"/>
                <w:szCs w:val="18"/>
              </w:rPr>
            </w:pPr>
          </w:p>
          <w:p w:rsidR="009501C1" w:rsidRDefault="009501C1" w:rsidP="009501C1">
            <w:pPr>
              <w:pStyle w:val="NoSpacing"/>
              <w:rPr>
                <w:rFonts w:ascii="Verdana" w:hAnsi="Verdana"/>
                <w:sz w:val="18"/>
                <w:szCs w:val="18"/>
              </w:rPr>
            </w:pPr>
            <w:r>
              <w:rPr>
                <w:rFonts w:ascii="Verdana" w:hAnsi="Verdana"/>
                <w:b/>
                <w:sz w:val="18"/>
                <w:szCs w:val="18"/>
              </w:rPr>
              <w:t xml:space="preserve">Mixed Number:  </w:t>
            </w:r>
            <w:r>
              <w:rPr>
                <w:rFonts w:ascii="Verdana" w:hAnsi="Verdana"/>
                <w:sz w:val="18"/>
                <w:szCs w:val="18"/>
              </w:rPr>
              <w:t>A number that is made up of a whole number and a fraction.</w:t>
            </w:r>
          </w:p>
          <w:p w:rsidR="009501C1" w:rsidRDefault="009501C1" w:rsidP="009501C1">
            <w:pPr>
              <w:pStyle w:val="NoSpacing"/>
              <w:rPr>
                <w:rFonts w:ascii="Verdana" w:hAnsi="Verdana"/>
                <w:sz w:val="18"/>
                <w:szCs w:val="18"/>
              </w:rPr>
            </w:pPr>
          </w:p>
          <w:p w:rsidR="009501C1" w:rsidRDefault="009501C1" w:rsidP="009501C1">
            <w:pPr>
              <w:pStyle w:val="NoSpacing"/>
              <w:rPr>
                <w:rFonts w:ascii="Verdana" w:hAnsi="Verdana"/>
                <w:sz w:val="18"/>
                <w:szCs w:val="18"/>
              </w:rPr>
            </w:pPr>
            <w:r>
              <w:rPr>
                <w:rFonts w:ascii="Verdana" w:hAnsi="Verdana"/>
                <w:b/>
                <w:sz w:val="18"/>
                <w:szCs w:val="18"/>
              </w:rPr>
              <w:t xml:space="preserve">Numerator:  </w:t>
            </w:r>
            <w:r>
              <w:rPr>
                <w:rFonts w:ascii="Verdana" w:hAnsi="Verdana"/>
                <w:sz w:val="18"/>
                <w:szCs w:val="18"/>
              </w:rPr>
              <w:t>The number above the line in a fraction.  The numerator represents how many pieces of the whole, or how many parts of a set, that are discussed.</w:t>
            </w:r>
          </w:p>
          <w:p w:rsidR="009501C1" w:rsidRDefault="009501C1" w:rsidP="009501C1">
            <w:pPr>
              <w:pStyle w:val="NoSpacing"/>
              <w:rPr>
                <w:rFonts w:ascii="Verdana" w:hAnsi="Verdana"/>
                <w:sz w:val="18"/>
                <w:szCs w:val="18"/>
              </w:rPr>
            </w:pPr>
          </w:p>
          <w:p w:rsidR="009501C1" w:rsidRDefault="009501C1" w:rsidP="009501C1">
            <w:pPr>
              <w:pStyle w:val="NoSpacing"/>
              <w:rPr>
                <w:rFonts w:ascii="Verdana" w:hAnsi="Verdana"/>
                <w:sz w:val="18"/>
                <w:szCs w:val="18"/>
              </w:rPr>
            </w:pPr>
            <w:r>
              <w:rPr>
                <w:rFonts w:ascii="Verdana" w:hAnsi="Verdana"/>
                <w:b/>
                <w:sz w:val="18"/>
                <w:szCs w:val="18"/>
              </w:rPr>
              <w:t xml:space="preserve">Product:  </w:t>
            </w:r>
            <w:r>
              <w:rPr>
                <w:rFonts w:ascii="Verdana" w:hAnsi="Verdana"/>
                <w:sz w:val="18"/>
                <w:szCs w:val="18"/>
              </w:rPr>
              <w:t>The result (answer) of multiplying a set of numbers together.</w:t>
            </w:r>
          </w:p>
          <w:p w:rsidR="009501C1" w:rsidRDefault="009501C1" w:rsidP="009501C1">
            <w:pPr>
              <w:pStyle w:val="NoSpacing"/>
              <w:rPr>
                <w:rFonts w:ascii="Verdana" w:hAnsi="Verdana"/>
                <w:sz w:val="18"/>
                <w:szCs w:val="18"/>
              </w:rPr>
            </w:pPr>
          </w:p>
          <w:p w:rsidR="009501C1" w:rsidRDefault="009501C1" w:rsidP="009501C1">
            <w:pPr>
              <w:pStyle w:val="NoSpacing"/>
              <w:rPr>
                <w:rFonts w:ascii="Verdana" w:hAnsi="Verdana"/>
                <w:sz w:val="18"/>
                <w:szCs w:val="18"/>
              </w:rPr>
            </w:pPr>
            <w:r>
              <w:rPr>
                <w:rFonts w:ascii="Verdana" w:hAnsi="Verdana"/>
                <w:b/>
                <w:sz w:val="18"/>
                <w:szCs w:val="18"/>
              </w:rPr>
              <w:t xml:space="preserve">Factor:  </w:t>
            </w:r>
            <w:r>
              <w:rPr>
                <w:rFonts w:ascii="Verdana" w:hAnsi="Verdana"/>
                <w:sz w:val="18"/>
                <w:szCs w:val="18"/>
              </w:rPr>
              <w:t>A number that is multiplied by another (factor x factor = product)</w:t>
            </w:r>
          </w:p>
          <w:p w:rsidR="009501C1" w:rsidRDefault="009501C1" w:rsidP="009501C1">
            <w:pPr>
              <w:pStyle w:val="NoSpacing"/>
              <w:rPr>
                <w:rFonts w:ascii="Verdana" w:hAnsi="Verdana"/>
                <w:sz w:val="18"/>
                <w:szCs w:val="18"/>
              </w:rPr>
            </w:pPr>
          </w:p>
          <w:p w:rsidR="009501C1" w:rsidRDefault="009501C1" w:rsidP="009501C1">
            <w:pPr>
              <w:pStyle w:val="NoSpacing"/>
              <w:rPr>
                <w:rFonts w:ascii="Verdana" w:hAnsi="Verdana"/>
                <w:sz w:val="18"/>
                <w:szCs w:val="18"/>
              </w:rPr>
            </w:pPr>
            <w:r>
              <w:rPr>
                <w:rFonts w:ascii="Verdana" w:hAnsi="Verdana"/>
                <w:b/>
                <w:sz w:val="18"/>
                <w:szCs w:val="18"/>
              </w:rPr>
              <w:t xml:space="preserve">Equivalent Fractions:  </w:t>
            </w:r>
            <w:r>
              <w:rPr>
                <w:rFonts w:ascii="Verdana" w:hAnsi="Verdana"/>
                <w:sz w:val="18"/>
                <w:szCs w:val="18"/>
              </w:rPr>
              <w:t xml:space="preserve">Two or more fractions </w:t>
            </w:r>
            <w:r w:rsidR="00484643">
              <w:rPr>
                <w:rFonts w:ascii="Verdana" w:hAnsi="Verdana"/>
                <w:sz w:val="18"/>
                <w:szCs w:val="18"/>
              </w:rPr>
              <w:t xml:space="preserve">with the same value.  Example:  ½ = 2/4 </w:t>
            </w:r>
          </w:p>
          <w:p w:rsidR="00484643" w:rsidRDefault="00484643" w:rsidP="009501C1">
            <w:pPr>
              <w:pStyle w:val="NoSpacing"/>
              <w:rPr>
                <w:rFonts w:ascii="Verdana" w:hAnsi="Verdana"/>
                <w:sz w:val="18"/>
                <w:szCs w:val="18"/>
              </w:rPr>
            </w:pPr>
          </w:p>
          <w:p w:rsidR="00484643" w:rsidRPr="00484643" w:rsidRDefault="00484643" w:rsidP="009501C1">
            <w:pPr>
              <w:pStyle w:val="NoSpacing"/>
              <w:rPr>
                <w:rFonts w:ascii="Verdana" w:hAnsi="Verdana"/>
                <w:sz w:val="18"/>
                <w:szCs w:val="18"/>
              </w:rPr>
            </w:pPr>
            <w:r>
              <w:rPr>
                <w:rFonts w:ascii="Verdana" w:hAnsi="Verdana"/>
                <w:b/>
                <w:sz w:val="18"/>
                <w:szCs w:val="18"/>
              </w:rPr>
              <w:t xml:space="preserve">Improper Fractions:  </w:t>
            </w:r>
            <w:r>
              <w:rPr>
                <w:rFonts w:ascii="Verdana" w:hAnsi="Verdana"/>
                <w:sz w:val="18"/>
                <w:szCs w:val="18"/>
              </w:rPr>
              <w:t xml:space="preserve">A fraction where the numerator is greater than the denominator.  </w:t>
            </w:r>
          </w:p>
          <w:p w:rsidR="00CB692C" w:rsidRPr="00E56E4A" w:rsidRDefault="00CB692C" w:rsidP="00CB692C">
            <w:pPr>
              <w:pStyle w:val="NoSpacing"/>
              <w:rPr>
                <w:rFonts w:ascii="Verdana" w:hAnsi="Verdana"/>
                <w:b/>
                <w:sz w:val="18"/>
                <w:szCs w:val="18"/>
              </w:rPr>
            </w:pPr>
          </w:p>
          <w:p w:rsidR="0041486E" w:rsidRPr="00FE2C1A" w:rsidRDefault="009E18D5" w:rsidP="005E2327">
            <w:pPr>
              <w:rPr>
                <w:rFonts w:ascii="Verdana" w:hAnsi="Verdana"/>
                <w:sz w:val="20"/>
              </w:rPr>
            </w:pPr>
            <w:r w:rsidRPr="00286F69">
              <w:rPr>
                <w:rFonts w:ascii="Verdana" w:hAnsi="Verdana"/>
                <w:sz w:val="20"/>
              </w:rPr>
              <w:t xml:space="preserve">Try </w:t>
            </w:r>
            <w:hyperlink r:id="rId16" w:history="1">
              <w:r w:rsidR="00286F69" w:rsidRPr="00286F69">
                <w:rPr>
                  <w:rStyle w:val="Hyperlink"/>
                  <w:color w:val="auto"/>
                  <w:szCs w:val="24"/>
                </w:rPr>
                <w:t>http://intermath.coe.uga.edu/dictnary/homepg.asp</w:t>
              </w:r>
            </w:hyperlink>
            <w:r w:rsidR="00C97E3F">
              <w:rPr>
                <w:rFonts w:ascii="Verdana" w:hAnsi="Verdana"/>
                <w:sz w:val="20"/>
              </w:rPr>
              <w:t xml:space="preserve"> </w:t>
            </w:r>
            <w:r w:rsidR="000B64E3">
              <w:rPr>
                <w:rFonts w:ascii="Verdana" w:hAnsi="Verdana"/>
                <w:sz w:val="20"/>
              </w:rPr>
              <w:t xml:space="preserve"> or </w:t>
            </w:r>
            <w:hyperlink r:id="rId17" w:history="1">
              <w:r w:rsidR="00C97E3F" w:rsidRPr="00160267">
                <w:rPr>
                  <w:rStyle w:val="Hyperlink"/>
                  <w:color w:val="auto"/>
                  <w:szCs w:val="24"/>
                </w:rPr>
                <w:t>http://www.amathsdictionaryforkids.com/</w:t>
              </w:r>
            </w:hyperlink>
            <w:r w:rsidR="00C97E3F">
              <w:rPr>
                <w:rFonts w:ascii="Verdana" w:hAnsi="Verdana"/>
                <w:sz w:val="20"/>
              </w:rPr>
              <w:t xml:space="preserve"> </w:t>
            </w:r>
            <w:r w:rsidR="00286F69" w:rsidRPr="00286F69">
              <w:rPr>
                <w:rFonts w:ascii="Verdana" w:hAnsi="Verdana"/>
                <w:sz w:val="20"/>
              </w:rPr>
              <w:t xml:space="preserve"> </w:t>
            </w:r>
            <w:r w:rsidRPr="00286F69">
              <w:rPr>
                <w:rFonts w:ascii="Verdana" w:hAnsi="Verdana"/>
                <w:sz w:val="20"/>
              </w:rPr>
              <w:t>for</w:t>
            </w:r>
            <w:r w:rsidRPr="00E56E4A">
              <w:rPr>
                <w:rFonts w:ascii="Verdana" w:hAnsi="Verdana"/>
                <w:sz w:val="20"/>
              </w:rPr>
              <w:t xml:space="preserve"> further examples.</w:t>
            </w:r>
          </w:p>
        </w:tc>
      </w:tr>
      <w:tr w:rsidR="00420333" w:rsidRPr="00EA4B0B" w:rsidTr="00C037F0">
        <w:trPr>
          <w:trHeight w:val="315"/>
        </w:trPr>
        <w:tc>
          <w:tcPr>
            <w:tcW w:w="2577" w:type="dxa"/>
            <w:gridSpan w:val="2"/>
            <w:shd w:val="clear" w:color="auto" w:fill="003399"/>
          </w:tcPr>
          <w:p w:rsidR="00420333" w:rsidRPr="00C037F0" w:rsidRDefault="00420333" w:rsidP="00C037F0">
            <w:pPr>
              <w:pStyle w:val="NewsletterDate"/>
              <w:spacing w:before="0" w:after="0"/>
              <w:rPr>
                <w:b w:val="0"/>
                <w:color w:val="auto"/>
              </w:rPr>
            </w:pPr>
          </w:p>
        </w:tc>
        <w:tc>
          <w:tcPr>
            <w:tcW w:w="8935" w:type="dxa"/>
            <w:gridSpan w:val="2"/>
            <w:shd w:val="clear" w:color="auto" w:fill="003399"/>
          </w:tcPr>
          <w:p w:rsidR="00420333" w:rsidRPr="00C037F0" w:rsidRDefault="00420333" w:rsidP="00C037F0">
            <w:pPr>
              <w:pStyle w:val="VolumeandIssue"/>
              <w:spacing w:before="0" w:after="0"/>
              <w:rPr>
                <w:b w:val="0"/>
                <w:color w:val="auto"/>
              </w:rPr>
            </w:pPr>
          </w:p>
        </w:tc>
      </w:tr>
      <w:tr w:rsidR="00420333" w:rsidRPr="00EA4B0B">
        <w:tc>
          <w:tcPr>
            <w:tcW w:w="2577" w:type="dxa"/>
            <w:gridSpan w:val="2"/>
            <w:shd w:val="clear" w:color="auto" w:fill="auto"/>
          </w:tcPr>
          <w:p w:rsidR="00420333" w:rsidRDefault="000A3B97" w:rsidP="00B54204">
            <w:pPr>
              <w:pStyle w:val="Links"/>
              <w:rPr>
                <w:rStyle w:val="Hyperlink"/>
                <w:rFonts w:ascii="Trebuchet MS" w:hAnsi="Trebuchet MS"/>
                <w:color w:val="auto"/>
                <w:sz w:val="28"/>
                <w:szCs w:val="28"/>
              </w:rPr>
            </w:pPr>
            <w:r>
              <w:rPr>
                <w:rStyle w:val="Hyperlink"/>
                <w:rFonts w:ascii="Trebuchet MS" w:hAnsi="Trebuchet MS"/>
                <w:color w:val="auto"/>
                <w:sz w:val="28"/>
                <w:szCs w:val="28"/>
              </w:rPr>
              <w:t>Symbols</w:t>
            </w:r>
          </w:p>
          <w:p w:rsidR="000A3B97" w:rsidRPr="00E56E4A" w:rsidRDefault="00E56E4A" w:rsidP="00B54204">
            <w:pPr>
              <w:pStyle w:val="Links"/>
              <w:rPr>
                <w:rStyle w:val="Hyperlink"/>
                <w:color w:val="auto"/>
              </w:rPr>
            </w:pPr>
            <w:r w:rsidRPr="00E56E4A">
              <w:rPr>
                <w:rStyle w:val="Hyperlink"/>
                <w:color w:val="auto"/>
              </w:rPr>
              <w:t xml:space="preserve">+ </w:t>
            </w:r>
            <w:r w:rsidR="000A3B97" w:rsidRPr="00E56E4A">
              <w:rPr>
                <w:rStyle w:val="Hyperlink"/>
                <w:color w:val="auto"/>
              </w:rPr>
              <w:t xml:space="preserve"> </w:t>
            </w:r>
            <w:r w:rsidRPr="00E56E4A">
              <w:rPr>
                <w:rStyle w:val="Hyperlink"/>
                <w:color w:val="auto"/>
              </w:rPr>
              <w:t>addition</w:t>
            </w:r>
            <w:r w:rsidR="000A3B97" w:rsidRPr="00E56E4A">
              <w:rPr>
                <w:rStyle w:val="Hyperlink"/>
                <w:color w:val="auto"/>
              </w:rPr>
              <w:t xml:space="preserve"> </w:t>
            </w:r>
          </w:p>
          <w:p w:rsidR="000A3B97" w:rsidRPr="00E56E4A" w:rsidRDefault="00E56E4A" w:rsidP="00B54204">
            <w:pPr>
              <w:pStyle w:val="Links"/>
              <w:rPr>
                <w:rStyle w:val="Hyperlink"/>
                <w:color w:val="auto"/>
              </w:rPr>
            </w:pPr>
            <w:r w:rsidRPr="00E56E4A">
              <w:rPr>
                <w:rStyle w:val="Hyperlink"/>
                <w:color w:val="auto"/>
              </w:rPr>
              <w:t>-  subtraction</w:t>
            </w:r>
          </w:p>
          <w:p w:rsidR="00B9701E" w:rsidRPr="00E56E4A" w:rsidRDefault="00E56E4A" w:rsidP="00B54204">
            <w:pPr>
              <w:pStyle w:val="Links"/>
              <w:rPr>
                <w:rStyle w:val="Hyperlink"/>
                <w:color w:val="auto"/>
              </w:rPr>
            </w:pPr>
            <w:r w:rsidRPr="00E56E4A">
              <w:rPr>
                <w:rStyle w:val="Hyperlink"/>
                <w:color w:val="auto"/>
              </w:rPr>
              <w:sym w:font="Symbol" w:char="F0B4"/>
            </w:r>
            <w:r w:rsidR="003A126B">
              <w:rPr>
                <w:rStyle w:val="Hyperlink"/>
                <w:color w:val="auto"/>
              </w:rPr>
              <w:t xml:space="preserve">  </w:t>
            </w:r>
            <w:r w:rsidRPr="00E56E4A">
              <w:rPr>
                <w:rStyle w:val="Hyperlink"/>
                <w:color w:val="auto"/>
              </w:rPr>
              <w:t>multiplication</w:t>
            </w:r>
          </w:p>
          <w:p w:rsidR="00B54204" w:rsidRDefault="00E56E4A" w:rsidP="00B54204">
            <w:pPr>
              <w:pStyle w:val="Links"/>
              <w:rPr>
                <w:color w:val="auto"/>
              </w:rPr>
            </w:pPr>
            <w:r w:rsidRPr="00E56E4A">
              <w:rPr>
                <w:color w:val="auto"/>
              </w:rPr>
              <w:sym w:font="Symbol" w:char="F0B8"/>
            </w:r>
            <w:r w:rsidR="005E2327">
              <w:rPr>
                <w:color w:val="auto"/>
              </w:rPr>
              <w:t>, -</w:t>
            </w:r>
            <w:r w:rsidR="00C97E3F">
              <w:rPr>
                <w:color w:val="auto"/>
              </w:rPr>
              <w:t xml:space="preserve"> </w:t>
            </w:r>
            <w:r w:rsidRPr="00E56E4A">
              <w:rPr>
                <w:color w:val="auto"/>
              </w:rPr>
              <w:t xml:space="preserve"> division</w:t>
            </w:r>
          </w:p>
          <w:p w:rsidR="003A126B" w:rsidRDefault="005E2327" w:rsidP="00B54204">
            <w:pPr>
              <w:pStyle w:val="Links"/>
              <w:rPr>
                <w:color w:val="auto"/>
              </w:rPr>
            </w:pPr>
            <w:r>
              <w:rPr>
                <w:color w:val="auto"/>
              </w:rPr>
              <w:t xml:space="preserve">-, / fraction </w:t>
            </w:r>
          </w:p>
          <w:p w:rsidR="005E2327" w:rsidRDefault="005E2327" w:rsidP="00B54204">
            <w:pPr>
              <w:pStyle w:val="Links"/>
              <w:rPr>
                <w:rFonts w:eastAsia="Calibri"/>
                <w:color w:val="000000"/>
              </w:rPr>
            </w:pPr>
            <w:r w:rsidRPr="00F45666">
              <w:rPr>
                <w:rFonts w:eastAsia="Calibri"/>
                <w:color w:val="000000"/>
              </w:rPr>
              <w:t></w:t>
            </w:r>
            <w:r>
              <w:rPr>
                <w:rFonts w:eastAsia="Calibri"/>
                <w:color w:val="000000"/>
              </w:rPr>
              <w:t xml:space="preserve"> variable</w:t>
            </w:r>
          </w:p>
          <w:p w:rsidR="005E2327" w:rsidRPr="005E2327" w:rsidRDefault="005E2327" w:rsidP="00B54204">
            <w:pPr>
              <w:pStyle w:val="Links"/>
              <w:rPr>
                <w:color w:val="auto"/>
              </w:rPr>
            </w:pPr>
            <w:r>
              <w:rPr>
                <w:rFonts w:eastAsia="Calibri"/>
                <w:i/>
                <w:color w:val="000000"/>
              </w:rPr>
              <w:t xml:space="preserve">n </w:t>
            </w:r>
            <w:r>
              <w:rPr>
                <w:rFonts w:eastAsia="Calibri"/>
                <w:color w:val="000000"/>
              </w:rPr>
              <w:t>variable</w:t>
            </w:r>
          </w:p>
          <w:p w:rsidR="00B54204" w:rsidRPr="009E18D5" w:rsidRDefault="009E18D5" w:rsidP="00B54204">
            <w:pPr>
              <w:pStyle w:val="Links"/>
              <w:rPr>
                <w:rStyle w:val="Hyperlink"/>
                <w:color w:val="auto"/>
              </w:rPr>
            </w:pPr>
            <w:r>
              <w:rPr>
                <w:rStyle w:val="Hyperlink"/>
                <w:color w:val="auto"/>
              </w:rPr>
              <w:t xml:space="preserve"> </w:t>
            </w:r>
          </w:p>
        </w:tc>
        <w:tc>
          <w:tcPr>
            <w:tcW w:w="8935" w:type="dxa"/>
            <w:gridSpan w:val="2"/>
            <w:shd w:val="clear" w:color="auto" w:fill="auto"/>
          </w:tcPr>
          <w:p w:rsidR="00420333" w:rsidRDefault="00420333" w:rsidP="00B54204">
            <w:pPr>
              <w:pStyle w:val="Heading1"/>
              <w:rPr>
                <w:color w:val="auto"/>
                <w:sz w:val="32"/>
                <w:szCs w:val="32"/>
              </w:rPr>
            </w:pPr>
            <w:r w:rsidRPr="00675AD2">
              <w:rPr>
                <w:color w:val="auto"/>
                <w:sz w:val="32"/>
                <w:szCs w:val="32"/>
              </w:rPr>
              <w:t>Example 1</w:t>
            </w:r>
          </w:p>
          <w:p w:rsidR="005E2327" w:rsidRDefault="005E2327" w:rsidP="005E2327"/>
          <w:p w:rsidR="005E2327" w:rsidRDefault="005E2327" w:rsidP="005E2327">
            <w:r w:rsidRPr="005E2327">
              <w:rPr>
                <w:rFonts w:ascii="Calibri" w:eastAsia="Calibri" w:hAnsi="Calibri"/>
                <w:color w:val="000000"/>
                <w:szCs w:val="20"/>
              </w:rPr>
              <w:object w:dxaOrig="2040" w:dyaOrig="580">
                <v:shape id="_x0000_i1026" type="#_x0000_t75" style="width:102.6pt;height:29.4pt" o:ole="">
                  <v:imagedata r:id="rId18" o:title=""/>
                </v:shape>
                <o:OLEObject Type="Embed" ProgID="Equation.3" ShapeID="_x0000_i1026" DrawAspect="Content" ObjectID="_1507288913" r:id="rId19"/>
              </w:object>
            </w:r>
          </w:p>
          <w:p w:rsidR="005E2327" w:rsidRDefault="005E2327" w:rsidP="005E2327"/>
          <w:p w:rsidR="005E2327" w:rsidRDefault="005E2327" w:rsidP="005E2327"/>
          <w:p w:rsidR="005E2327" w:rsidRPr="005E2327" w:rsidRDefault="005E2327" w:rsidP="005E2327"/>
          <w:p w:rsidR="00420333" w:rsidRPr="00675AD2" w:rsidRDefault="00420333" w:rsidP="00B54204">
            <w:pPr>
              <w:pStyle w:val="Heading2"/>
              <w:rPr>
                <w:color w:val="auto"/>
                <w:sz w:val="32"/>
                <w:szCs w:val="32"/>
              </w:rPr>
            </w:pPr>
            <w:r w:rsidRPr="00675AD2">
              <w:rPr>
                <w:color w:val="auto"/>
                <w:sz w:val="32"/>
                <w:szCs w:val="32"/>
              </w:rPr>
              <w:t>Example 2</w:t>
            </w:r>
          </w:p>
          <w:p w:rsidR="005E2327" w:rsidRDefault="005E2327" w:rsidP="005E2327">
            <w:pPr>
              <w:autoSpaceDE w:val="0"/>
              <w:autoSpaceDN w:val="0"/>
              <w:adjustRightInd w:val="0"/>
              <w:rPr>
                <w:rFonts w:ascii="Calibri" w:eastAsia="Calibri" w:hAnsi="Calibri"/>
                <w:color w:val="000000"/>
                <w:szCs w:val="20"/>
              </w:rPr>
            </w:pPr>
          </w:p>
          <w:p w:rsidR="005E2327" w:rsidRDefault="005E2327" w:rsidP="005E2327">
            <w:pPr>
              <w:autoSpaceDE w:val="0"/>
              <w:autoSpaceDN w:val="0"/>
              <w:adjustRightInd w:val="0"/>
            </w:pPr>
            <w:r>
              <w:rPr>
                <w:rFonts w:ascii="Calibri" w:eastAsia="Calibri" w:hAnsi="Calibri"/>
                <w:color w:val="000000"/>
                <w:szCs w:val="20"/>
              </w:rPr>
              <w:t xml:space="preserve">Explore </w:t>
            </w:r>
            <w:r w:rsidRPr="005E2327">
              <w:rPr>
                <w:rFonts w:ascii="Calibri" w:eastAsia="Calibri" w:hAnsi="Calibri"/>
                <w:color w:val="000000"/>
                <w:szCs w:val="20"/>
              </w:rPr>
              <w:t>the problem 1/3 + 1/6. Encourage students to use the clock face as a model for solving the problem. Have students share their approaches with the class and demonstrate their thinking using the clock model.</w:t>
            </w:r>
          </w:p>
          <w:p w:rsidR="005E2327" w:rsidRDefault="004D6F0E" w:rsidP="005E2327">
            <w:pPr>
              <w:jc w:val="center"/>
            </w:pPr>
            <w:r w:rsidRPr="00C537F5">
              <w:rPr>
                <w:noProof/>
              </w:rPr>
              <w:drawing>
                <wp:inline distT="0" distB="0" distL="0" distR="0">
                  <wp:extent cx="1104900" cy="1066800"/>
                  <wp:effectExtent l="0" t="0" r="0" b="0"/>
                  <wp:docPr id="3"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1066800"/>
                          </a:xfrm>
                          <a:prstGeom prst="rect">
                            <a:avLst/>
                          </a:prstGeom>
                          <a:noFill/>
                          <a:ln>
                            <a:noFill/>
                          </a:ln>
                        </pic:spPr>
                      </pic:pic>
                    </a:graphicData>
                  </a:graphic>
                </wp:inline>
              </w:drawing>
            </w:r>
          </w:p>
          <w:p w:rsidR="00420333" w:rsidRPr="00675AD2" w:rsidRDefault="00420333" w:rsidP="00B54204">
            <w:pPr>
              <w:pStyle w:val="Heading2"/>
              <w:rPr>
                <w:color w:val="auto"/>
                <w:sz w:val="32"/>
                <w:szCs w:val="32"/>
              </w:rPr>
            </w:pPr>
            <w:r w:rsidRPr="00675AD2">
              <w:rPr>
                <w:color w:val="auto"/>
                <w:sz w:val="32"/>
                <w:szCs w:val="32"/>
              </w:rPr>
              <w:t>Example 3</w:t>
            </w:r>
          </w:p>
          <w:p w:rsidR="005E2327" w:rsidRDefault="005E2327" w:rsidP="005E2327">
            <w:pPr>
              <w:autoSpaceDE w:val="0"/>
              <w:autoSpaceDN w:val="0"/>
              <w:adjustRightInd w:val="0"/>
              <w:rPr>
                <w:rFonts w:eastAsia="Calibri"/>
                <w:color w:val="000000"/>
              </w:rPr>
            </w:pPr>
          </w:p>
          <w:p w:rsidR="005E2327" w:rsidRPr="00F45666" w:rsidRDefault="005E2327" w:rsidP="005E2327">
            <w:pPr>
              <w:autoSpaceDE w:val="0"/>
              <w:autoSpaceDN w:val="0"/>
              <w:adjustRightInd w:val="0"/>
              <w:rPr>
                <w:rFonts w:eastAsia="Calibri"/>
                <w:color w:val="000000"/>
              </w:rPr>
            </w:pPr>
            <w:r w:rsidRPr="00F45666">
              <w:rPr>
                <w:rFonts w:eastAsia="Calibri"/>
                <w:color w:val="000000"/>
              </w:rPr>
              <w:t>Ten team members are sharing 3 boxes of cookies. How much of a box will each student get?</w:t>
            </w:r>
          </w:p>
          <w:p w:rsidR="005E2327" w:rsidRDefault="005E2327" w:rsidP="005E2327">
            <w:pPr>
              <w:autoSpaceDE w:val="0"/>
              <w:autoSpaceDN w:val="0"/>
              <w:adjustRightInd w:val="0"/>
              <w:rPr>
                <w:rFonts w:eastAsia="Calibri"/>
                <w:color w:val="000000"/>
              </w:rPr>
            </w:pPr>
          </w:p>
          <w:p w:rsidR="005E2327" w:rsidRPr="00F45666" w:rsidRDefault="005E2327" w:rsidP="005E2327">
            <w:pPr>
              <w:autoSpaceDE w:val="0"/>
              <w:autoSpaceDN w:val="0"/>
              <w:adjustRightInd w:val="0"/>
              <w:rPr>
                <w:rFonts w:eastAsia="Calibri"/>
                <w:color w:val="000000"/>
              </w:rPr>
            </w:pPr>
            <w:r w:rsidRPr="00F45666">
              <w:rPr>
                <w:rFonts w:eastAsia="Calibri"/>
                <w:color w:val="000000"/>
              </w:rPr>
              <w:t xml:space="preserve">When working this problem a student should recognize that the 3 boxes are being divided into 10 groups, so s/he is seeing the solution to the following equation, 10 </w:t>
            </w:r>
            <w:r w:rsidRPr="00F45666">
              <w:rPr>
                <w:rFonts w:eastAsia="Calibri"/>
                <w:color w:val="000000"/>
              </w:rPr>
              <w:t> n = 3 (10 groups of some amount is 3 boxes) which can also be written as n = 3 ÷ 10. Using models or diagram, they divide each box into 10 groups, resulting in each te</w:t>
            </w:r>
            <w:r>
              <w:rPr>
                <w:rFonts w:eastAsia="Calibri"/>
                <w:color w:val="000000"/>
              </w:rPr>
              <w:t>am member getting 3/10 of a box</w:t>
            </w:r>
          </w:p>
          <w:p w:rsidR="0029247C" w:rsidRDefault="0029247C" w:rsidP="0029247C">
            <w:pPr>
              <w:pStyle w:val="Heading2"/>
              <w:rPr>
                <w:color w:val="auto"/>
                <w:sz w:val="32"/>
                <w:szCs w:val="32"/>
              </w:rPr>
            </w:pPr>
            <w:r w:rsidRPr="00675AD2">
              <w:rPr>
                <w:color w:val="auto"/>
                <w:sz w:val="32"/>
                <w:szCs w:val="32"/>
              </w:rPr>
              <w:t>Example 4</w:t>
            </w:r>
          </w:p>
          <w:p w:rsidR="005E2327" w:rsidRDefault="005E2327" w:rsidP="005E2327"/>
          <w:p w:rsidR="005E2327" w:rsidRPr="00F45666" w:rsidRDefault="005E2327" w:rsidP="005E2327">
            <w:r w:rsidRPr="00F45666">
              <w:t>Your teacher gives 7 packs of paper to your group of 4 students. If you share the paper equally, how much paper does each student get?</w:t>
            </w:r>
          </w:p>
          <w:p w:rsidR="005E2327" w:rsidRDefault="005E2327" w:rsidP="005E2327">
            <w:r w:rsidRPr="00F45666">
              <w:t xml:space="preserve"> </w:t>
            </w:r>
          </w:p>
          <w:p w:rsidR="005E2327" w:rsidRDefault="004D6F0E" w:rsidP="005E2327">
            <w:r w:rsidRPr="00C537F5">
              <w:rPr>
                <w:noProof/>
              </w:rPr>
              <w:drawing>
                <wp:inline distT="0" distB="0" distL="0" distR="0">
                  <wp:extent cx="5646420" cy="457200"/>
                  <wp:effectExtent l="0" t="0" r="0" b="0"/>
                  <wp:docPr id="4"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6420" cy="457200"/>
                          </a:xfrm>
                          <a:prstGeom prst="rect">
                            <a:avLst/>
                          </a:prstGeom>
                          <a:noFill/>
                          <a:ln>
                            <a:noFill/>
                          </a:ln>
                        </pic:spPr>
                      </pic:pic>
                    </a:graphicData>
                  </a:graphic>
                </wp:inline>
              </w:drawing>
            </w:r>
          </w:p>
          <w:p w:rsidR="005E2327" w:rsidRPr="00F45666" w:rsidRDefault="005E2327" w:rsidP="005E2327"/>
          <w:p w:rsidR="005E2327" w:rsidRPr="00F45666" w:rsidRDefault="005E2327" w:rsidP="005E2327">
            <w:r w:rsidRPr="00F45666">
              <w:t>Each student receives 1 whole pack of paper and 1/4 of the each of the 3 packs of paper. So each student gets 13/4 packs of paper.</w:t>
            </w:r>
          </w:p>
          <w:p w:rsidR="00AD5B04" w:rsidRDefault="00AD5B04" w:rsidP="00AD5B04">
            <w:pPr>
              <w:pStyle w:val="Heading2"/>
              <w:rPr>
                <w:color w:val="auto"/>
                <w:sz w:val="32"/>
                <w:szCs w:val="32"/>
              </w:rPr>
            </w:pPr>
            <w:r>
              <w:rPr>
                <w:color w:val="auto"/>
                <w:sz w:val="32"/>
                <w:szCs w:val="32"/>
              </w:rPr>
              <w:t>Example 5</w:t>
            </w:r>
          </w:p>
          <w:p w:rsidR="005E2327" w:rsidRDefault="005E2327" w:rsidP="005E2327">
            <w:pPr>
              <w:rPr>
                <w:rFonts w:eastAsia="Calibri"/>
                <w:color w:val="000000"/>
              </w:rPr>
            </w:pPr>
          </w:p>
          <w:p w:rsidR="005E2327" w:rsidRPr="00594BF3" w:rsidRDefault="005E2327" w:rsidP="005E2327">
            <w:pPr>
              <w:rPr>
                <w:rFonts w:eastAsia="Calibri"/>
                <w:color w:val="000000"/>
              </w:rPr>
            </w:pPr>
            <w:r w:rsidRPr="00594BF3">
              <w:rPr>
                <w:rFonts w:eastAsia="Calibri"/>
                <w:color w:val="000000"/>
              </w:rPr>
              <w:lastRenderedPageBreak/>
              <w:t>Three-fourths of the class is boys. Two-thirds of the boys are wearing tennis shoes. What fraction of the class are boys wearing tennis shoes?</w:t>
            </w:r>
          </w:p>
          <w:p w:rsidR="005E2327" w:rsidRPr="00594BF3" w:rsidRDefault="005E2327" w:rsidP="005E2327">
            <w:pPr>
              <w:rPr>
                <w:rFonts w:eastAsia="Calibri"/>
                <w:color w:val="000000"/>
              </w:rPr>
            </w:pPr>
          </w:p>
          <w:p w:rsidR="005E2327" w:rsidRPr="00594BF3" w:rsidRDefault="005E2327" w:rsidP="005E2327">
            <w:pPr>
              <w:rPr>
                <w:rFonts w:eastAsia="Calibri"/>
                <w:color w:val="000000"/>
              </w:rPr>
            </w:pPr>
            <w:r w:rsidRPr="00594BF3">
              <w:rPr>
                <w:rFonts w:eastAsia="Calibri"/>
                <w:color w:val="000000"/>
              </w:rPr>
              <w:t xml:space="preserve">This question is asking what is 2/3 of 3/4 what is 2/3 </w:t>
            </w:r>
            <w:r w:rsidRPr="00594BF3">
              <w:rPr>
                <w:rFonts w:eastAsia="Calibri"/>
                <w:color w:val="000000"/>
              </w:rPr>
              <w:t xml:space="preserve"> ¾?  In this case you have 2/3 groups of size 3/4.  (A way to think about it in terms of the language for whole numbers is by using an example such as 4 </w:t>
            </w:r>
            <w:r w:rsidRPr="00594BF3">
              <w:rPr>
                <w:rFonts w:eastAsia="Calibri"/>
                <w:color w:val="000000"/>
              </w:rPr>
              <w:t> 5, which means you have 4 groups of size 5.)</w:t>
            </w:r>
            <w:r w:rsidRPr="00594BF3">
              <w:rPr>
                <w:rFonts w:eastAsia="Calibri"/>
                <w:color w:val="000000"/>
              </w:rPr>
              <w:cr/>
            </w: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3"/>
              <w:gridCol w:w="2294"/>
              <w:gridCol w:w="2294"/>
              <w:gridCol w:w="2294"/>
            </w:tblGrid>
            <w:tr w:rsidR="005E2327" w:rsidRPr="00364F54" w:rsidTr="00DD41E0">
              <w:tc>
                <w:tcPr>
                  <w:tcW w:w="2293" w:type="dxa"/>
                  <w:shd w:val="clear" w:color="auto" w:fill="BFBFBF"/>
                </w:tcPr>
                <w:p w:rsidR="005E2327" w:rsidRPr="00364F54" w:rsidRDefault="005E2327" w:rsidP="00DD41E0">
                  <w:pPr>
                    <w:autoSpaceDE w:val="0"/>
                    <w:autoSpaceDN w:val="0"/>
                    <w:adjustRightInd w:val="0"/>
                    <w:spacing w:after="200" w:line="276" w:lineRule="auto"/>
                    <w:rPr>
                      <w:rFonts w:eastAsia="Calibri"/>
                    </w:rPr>
                  </w:pPr>
                </w:p>
              </w:tc>
              <w:tc>
                <w:tcPr>
                  <w:tcW w:w="2294" w:type="dxa"/>
                  <w:shd w:val="clear" w:color="auto" w:fill="BFBFBF"/>
                </w:tcPr>
                <w:p w:rsidR="005E2327" w:rsidRPr="00364F54" w:rsidRDefault="005E2327" w:rsidP="00DD41E0">
                  <w:pPr>
                    <w:autoSpaceDE w:val="0"/>
                    <w:autoSpaceDN w:val="0"/>
                    <w:adjustRightInd w:val="0"/>
                    <w:spacing w:after="200" w:line="276" w:lineRule="auto"/>
                    <w:rPr>
                      <w:rFonts w:eastAsia="Calibri"/>
                    </w:rPr>
                  </w:pPr>
                </w:p>
              </w:tc>
              <w:tc>
                <w:tcPr>
                  <w:tcW w:w="2294" w:type="dxa"/>
                  <w:shd w:val="clear" w:color="auto" w:fill="BFBFBF"/>
                </w:tcPr>
                <w:p w:rsidR="005E2327" w:rsidRPr="00364F54" w:rsidRDefault="005E2327" w:rsidP="00DD41E0">
                  <w:pPr>
                    <w:autoSpaceDE w:val="0"/>
                    <w:autoSpaceDN w:val="0"/>
                    <w:adjustRightInd w:val="0"/>
                    <w:spacing w:after="200" w:line="276" w:lineRule="auto"/>
                    <w:rPr>
                      <w:rFonts w:eastAsia="Calibri"/>
                    </w:rPr>
                  </w:pPr>
                </w:p>
              </w:tc>
              <w:tc>
                <w:tcPr>
                  <w:tcW w:w="2294" w:type="dxa"/>
                  <w:shd w:val="clear" w:color="auto" w:fill="auto"/>
                </w:tcPr>
                <w:p w:rsidR="005E2327" w:rsidRPr="00364F54" w:rsidRDefault="005E2327" w:rsidP="00DD41E0">
                  <w:pPr>
                    <w:autoSpaceDE w:val="0"/>
                    <w:autoSpaceDN w:val="0"/>
                    <w:adjustRightInd w:val="0"/>
                    <w:spacing w:after="200" w:line="276" w:lineRule="auto"/>
                    <w:rPr>
                      <w:rFonts w:eastAsia="Calibri"/>
                    </w:rPr>
                  </w:pPr>
                </w:p>
              </w:tc>
            </w:tr>
          </w:tbl>
          <w:p w:rsidR="005E2327" w:rsidRPr="00594BF3" w:rsidRDefault="005E2327" w:rsidP="005E2327">
            <w:pPr>
              <w:rPr>
                <w:rFonts w:eastAsia="Calibri"/>
                <w:color w:val="000000"/>
              </w:rPr>
            </w:pPr>
            <w:r>
              <w:rPr>
                <w:rFonts w:eastAsia="Calibri"/>
                <w:color w:val="000000"/>
              </w:rPr>
              <w:t xml:space="preserve">      </w:t>
            </w:r>
            <w:r w:rsidR="004D6F0E" w:rsidRPr="005E2327">
              <w:rPr>
                <w:rFonts w:eastAsia="Calibri"/>
                <w:noProof/>
                <w:color w:val="000000"/>
              </w:rPr>
              <w:drawing>
                <wp:inline distT="0" distB="0" distL="0" distR="0">
                  <wp:extent cx="4373880" cy="144780"/>
                  <wp:effectExtent l="0" t="0" r="7620" b="7620"/>
                  <wp:docPr id="5"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73880" cy="144780"/>
                          </a:xfrm>
                          <a:prstGeom prst="rect">
                            <a:avLst/>
                          </a:prstGeom>
                          <a:noFill/>
                          <a:ln>
                            <a:noFill/>
                          </a:ln>
                        </pic:spPr>
                      </pic:pic>
                    </a:graphicData>
                  </a:graphic>
                </wp:inline>
              </w:drawing>
            </w:r>
          </w:p>
          <w:p w:rsidR="005E2327" w:rsidRDefault="005E2327" w:rsidP="005E2327">
            <w:pPr>
              <w:rPr>
                <w:rFonts w:eastAsia="Calibri"/>
                <w:color w:val="000000"/>
              </w:rPr>
            </w:pPr>
            <w:r w:rsidRPr="00594BF3">
              <w:rPr>
                <w:rFonts w:eastAsia="Calibri"/>
                <w:color w:val="000000"/>
              </w:rPr>
              <w:tab/>
            </w:r>
            <w:r w:rsidRPr="00594BF3">
              <w:rPr>
                <w:rFonts w:eastAsia="Calibri"/>
                <w:color w:val="000000"/>
              </w:rPr>
              <w:tab/>
            </w:r>
            <w:r>
              <w:rPr>
                <w:rFonts w:eastAsia="Calibri"/>
                <w:color w:val="000000"/>
              </w:rPr>
              <w:tab/>
            </w:r>
            <w:r>
              <w:rPr>
                <w:rFonts w:eastAsia="Calibri"/>
                <w:color w:val="000000"/>
              </w:rPr>
              <w:tab/>
            </w:r>
            <w:r>
              <w:rPr>
                <w:rFonts w:eastAsia="Calibri"/>
                <w:color w:val="000000"/>
              </w:rPr>
              <w:tab/>
            </w:r>
            <w:r w:rsidRPr="00594BF3">
              <w:rPr>
                <w:rFonts w:eastAsia="Calibri"/>
                <w:color w:val="000000"/>
              </w:rPr>
              <w:t>Boys</w:t>
            </w:r>
          </w:p>
          <w:p w:rsidR="005E2327" w:rsidRDefault="005E2327" w:rsidP="005E2327">
            <w:pPr>
              <w:rPr>
                <w:rFonts w:eastAsia="Calibri"/>
                <w:color w:val="000000"/>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3"/>
              <w:gridCol w:w="2294"/>
              <w:gridCol w:w="2294"/>
              <w:gridCol w:w="2294"/>
            </w:tblGrid>
            <w:tr w:rsidR="005E2327" w:rsidRPr="00364F54" w:rsidTr="00DD41E0">
              <w:tc>
                <w:tcPr>
                  <w:tcW w:w="2293" w:type="dxa"/>
                  <w:shd w:val="clear" w:color="auto" w:fill="BFBFBF"/>
                </w:tcPr>
                <w:p w:rsidR="005E2327" w:rsidRPr="00364F54" w:rsidRDefault="004D6F0E" w:rsidP="00DD41E0">
                  <w:pPr>
                    <w:autoSpaceDE w:val="0"/>
                    <w:autoSpaceDN w:val="0"/>
                    <w:adjustRightInd w:val="0"/>
                    <w:spacing w:after="200" w:line="276" w:lineRule="auto"/>
                    <w:rPr>
                      <w:rFonts w:eastAsia="Calibri"/>
                    </w:rPr>
                  </w:pPr>
                  <w:r w:rsidRPr="005E2327">
                    <w:rPr>
                      <w:rFonts w:eastAsia="Calibri"/>
                      <w:noProof/>
                    </w:rPr>
                    <w:drawing>
                      <wp:inline distT="0" distB="0" distL="0" distR="0">
                        <wp:extent cx="182880" cy="129540"/>
                        <wp:effectExtent l="0" t="0" r="7620" b="3810"/>
                        <wp:docPr id="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129540"/>
                                </a:xfrm>
                                <a:prstGeom prst="rect">
                                  <a:avLst/>
                                </a:prstGeom>
                                <a:noFill/>
                                <a:ln>
                                  <a:noFill/>
                                </a:ln>
                              </pic:spPr>
                            </pic:pic>
                          </a:graphicData>
                        </a:graphic>
                      </wp:inline>
                    </w:drawing>
                  </w:r>
                  <w:r w:rsidRPr="005E2327">
                    <w:rPr>
                      <w:rFonts w:eastAsia="Calibri"/>
                      <w:noProof/>
                    </w:rPr>
                    <w:drawing>
                      <wp:inline distT="0" distB="0" distL="0" distR="0">
                        <wp:extent cx="182880" cy="129540"/>
                        <wp:effectExtent l="0" t="0" r="7620" b="3810"/>
                        <wp:docPr id="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129540"/>
                                </a:xfrm>
                                <a:prstGeom prst="rect">
                                  <a:avLst/>
                                </a:prstGeom>
                                <a:noFill/>
                                <a:ln>
                                  <a:noFill/>
                                </a:ln>
                              </pic:spPr>
                            </pic:pic>
                          </a:graphicData>
                        </a:graphic>
                      </wp:inline>
                    </w:drawing>
                  </w:r>
                  <w:r w:rsidRPr="005E2327">
                    <w:rPr>
                      <w:rFonts w:eastAsia="Calibri"/>
                      <w:noProof/>
                    </w:rPr>
                    <w:drawing>
                      <wp:inline distT="0" distB="0" distL="0" distR="0">
                        <wp:extent cx="182880" cy="129540"/>
                        <wp:effectExtent l="0" t="0" r="7620" b="3810"/>
                        <wp:docPr id="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129540"/>
                                </a:xfrm>
                                <a:prstGeom prst="rect">
                                  <a:avLst/>
                                </a:prstGeom>
                                <a:noFill/>
                                <a:ln>
                                  <a:noFill/>
                                </a:ln>
                              </pic:spPr>
                            </pic:pic>
                          </a:graphicData>
                        </a:graphic>
                      </wp:inline>
                    </w:drawing>
                  </w:r>
                  <w:r w:rsidRPr="005E2327">
                    <w:rPr>
                      <w:rFonts w:eastAsia="Calibri"/>
                      <w:noProof/>
                    </w:rPr>
                    <w:drawing>
                      <wp:inline distT="0" distB="0" distL="0" distR="0">
                        <wp:extent cx="182880" cy="129540"/>
                        <wp:effectExtent l="0" t="0" r="7620" b="3810"/>
                        <wp:docPr id="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129540"/>
                                </a:xfrm>
                                <a:prstGeom prst="rect">
                                  <a:avLst/>
                                </a:prstGeom>
                                <a:noFill/>
                                <a:ln>
                                  <a:noFill/>
                                </a:ln>
                              </pic:spPr>
                            </pic:pic>
                          </a:graphicData>
                        </a:graphic>
                      </wp:inline>
                    </w:drawing>
                  </w:r>
                  <w:r w:rsidRPr="005E2327">
                    <w:rPr>
                      <w:rFonts w:eastAsia="Calibri"/>
                      <w:noProof/>
                    </w:rPr>
                    <w:drawing>
                      <wp:inline distT="0" distB="0" distL="0" distR="0">
                        <wp:extent cx="182880" cy="129540"/>
                        <wp:effectExtent l="0" t="0" r="7620" b="3810"/>
                        <wp:docPr id="1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129540"/>
                                </a:xfrm>
                                <a:prstGeom prst="rect">
                                  <a:avLst/>
                                </a:prstGeom>
                                <a:noFill/>
                                <a:ln>
                                  <a:noFill/>
                                </a:ln>
                              </pic:spPr>
                            </pic:pic>
                          </a:graphicData>
                        </a:graphic>
                      </wp:inline>
                    </w:drawing>
                  </w:r>
                  <w:r w:rsidRPr="005E2327">
                    <w:rPr>
                      <w:rFonts w:eastAsia="Calibri"/>
                      <w:noProof/>
                    </w:rPr>
                    <w:drawing>
                      <wp:inline distT="0" distB="0" distL="0" distR="0">
                        <wp:extent cx="182880" cy="129540"/>
                        <wp:effectExtent l="0" t="0" r="7620" b="3810"/>
                        <wp:docPr id="1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129540"/>
                                </a:xfrm>
                                <a:prstGeom prst="rect">
                                  <a:avLst/>
                                </a:prstGeom>
                                <a:noFill/>
                                <a:ln>
                                  <a:noFill/>
                                </a:ln>
                              </pic:spPr>
                            </pic:pic>
                          </a:graphicData>
                        </a:graphic>
                      </wp:inline>
                    </w:drawing>
                  </w:r>
                </w:p>
              </w:tc>
              <w:tc>
                <w:tcPr>
                  <w:tcW w:w="2294" w:type="dxa"/>
                  <w:shd w:val="clear" w:color="auto" w:fill="BFBFBF"/>
                </w:tcPr>
                <w:p w:rsidR="005E2327" w:rsidRPr="00364F54" w:rsidRDefault="004D6F0E" w:rsidP="00DD41E0">
                  <w:pPr>
                    <w:autoSpaceDE w:val="0"/>
                    <w:autoSpaceDN w:val="0"/>
                    <w:adjustRightInd w:val="0"/>
                    <w:spacing w:after="200" w:line="276" w:lineRule="auto"/>
                    <w:rPr>
                      <w:rFonts w:eastAsia="Calibri"/>
                    </w:rPr>
                  </w:pPr>
                  <w:r w:rsidRPr="005E2327">
                    <w:rPr>
                      <w:rFonts w:eastAsia="Calibri"/>
                      <w:noProof/>
                    </w:rPr>
                    <w:drawing>
                      <wp:inline distT="0" distB="0" distL="0" distR="0">
                        <wp:extent cx="182880" cy="129540"/>
                        <wp:effectExtent l="0" t="0" r="7620" b="3810"/>
                        <wp:docPr id="1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129540"/>
                                </a:xfrm>
                                <a:prstGeom prst="rect">
                                  <a:avLst/>
                                </a:prstGeom>
                                <a:noFill/>
                                <a:ln>
                                  <a:noFill/>
                                </a:ln>
                              </pic:spPr>
                            </pic:pic>
                          </a:graphicData>
                        </a:graphic>
                      </wp:inline>
                    </w:drawing>
                  </w:r>
                  <w:r w:rsidRPr="005E2327">
                    <w:rPr>
                      <w:rFonts w:eastAsia="Calibri"/>
                      <w:noProof/>
                    </w:rPr>
                    <w:drawing>
                      <wp:inline distT="0" distB="0" distL="0" distR="0">
                        <wp:extent cx="182880" cy="129540"/>
                        <wp:effectExtent l="0" t="0" r="7620" b="3810"/>
                        <wp:docPr id="1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129540"/>
                                </a:xfrm>
                                <a:prstGeom prst="rect">
                                  <a:avLst/>
                                </a:prstGeom>
                                <a:noFill/>
                                <a:ln>
                                  <a:noFill/>
                                </a:ln>
                              </pic:spPr>
                            </pic:pic>
                          </a:graphicData>
                        </a:graphic>
                      </wp:inline>
                    </w:drawing>
                  </w:r>
                  <w:r w:rsidRPr="005E2327">
                    <w:rPr>
                      <w:rFonts w:eastAsia="Calibri"/>
                      <w:noProof/>
                    </w:rPr>
                    <w:drawing>
                      <wp:inline distT="0" distB="0" distL="0" distR="0">
                        <wp:extent cx="182880" cy="129540"/>
                        <wp:effectExtent l="0" t="0" r="7620" b="3810"/>
                        <wp:docPr id="1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129540"/>
                                </a:xfrm>
                                <a:prstGeom prst="rect">
                                  <a:avLst/>
                                </a:prstGeom>
                                <a:noFill/>
                                <a:ln>
                                  <a:noFill/>
                                </a:ln>
                              </pic:spPr>
                            </pic:pic>
                          </a:graphicData>
                        </a:graphic>
                      </wp:inline>
                    </w:drawing>
                  </w:r>
                  <w:r w:rsidRPr="005E2327">
                    <w:rPr>
                      <w:rFonts w:eastAsia="Calibri"/>
                      <w:noProof/>
                    </w:rPr>
                    <w:drawing>
                      <wp:inline distT="0" distB="0" distL="0" distR="0">
                        <wp:extent cx="182880" cy="129540"/>
                        <wp:effectExtent l="0" t="0" r="7620" b="3810"/>
                        <wp:docPr id="1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129540"/>
                                </a:xfrm>
                                <a:prstGeom prst="rect">
                                  <a:avLst/>
                                </a:prstGeom>
                                <a:noFill/>
                                <a:ln>
                                  <a:noFill/>
                                </a:ln>
                              </pic:spPr>
                            </pic:pic>
                          </a:graphicData>
                        </a:graphic>
                      </wp:inline>
                    </w:drawing>
                  </w:r>
                  <w:r w:rsidRPr="005E2327">
                    <w:rPr>
                      <w:rFonts w:eastAsia="Calibri"/>
                      <w:noProof/>
                    </w:rPr>
                    <w:drawing>
                      <wp:inline distT="0" distB="0" distL="0" distR="0">
                        <wp:extent cx="182880" cy="129540"/>
                        <wp:effectExtent l="0" t="0" r="7620" b="3810"/>
                        <wp:docPr id="1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129540"/>
                                </a:xfrm>
                                <a:prstGeom prst="rect">
                                  <a:avLst/>
                                </a:prstGeom>
                                <a:noFill/>
                                <a:ln>
                                  <a:noFill/>
                                </a:ln>
                              </pic:spPr>
                            </pic:pic>
                          </a:graphicData>
                        </a:graphic>
                      </wp:inline>
                    </w:drawing>
                  </w:r>
                  <w:r w:rsidRPr="005E2327">
                    <w:rPr>
                      <w:rFonts w:eastAsia="Calibri"/>
                      <w:noProof/>
                    </w:rPr>
                    <w:drawing>
                      <wp:inline distT="0" distB="0" distL="0" distR="0">
                        <wp:extent cx="182880" cy="129540"/>
                        <wp:effectExtent l="0" t="0" r="7620" b="3810"/>
                        <wp:docPr id="1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129540"/>
                                </a:xfrm>
                                <a:prstGeom prst="rect">
                                  <a:avLst/>
                                </a:prstGeom>
                                <a:noFill/>
                                <a:ln>
                                  <a:noFill/>
                                </a:ln>
                              </pic:spPr>
                            </pic:pic>
                          </a:graphicData>
                        </a:graphic>
                      </wp:inline>
                    </w:drawing>
                  </w:r>
                </w:p>
              </w:tc>
              <w:tc>
                <w:tcPr>
                  <w:tcW w:w="2294" w:type="dxa"/>
                  <w:shd w:val="clear" w:color="auto" w:fill="BFBFBF"/>
                </w:tcPr>
                <w:p w:rsidR="005E2327" w:rsidRPr="00364F54" w:rsidRDefault="005E2327" w:rsidP="00DD41E0">
                  <w:pPr>
                    <w:autoSpaceDE w:val="0"/>
                    <w:autoSpaceDN w:val="0"/>
                    <w:adjustRightInd w:val="0"/>
                    <w:spacing w:after="200" w:line="276" w:lineRule="auto"/>
                    <w:rPr>
                      <w:rFonts w:eastAsia="Calibri"/>
                    </w:rPr>
                  </w:pPr>
                </w:p>
              </w:tc>
              <w:tc>
                <w:tcPr>
                  <w:tcW w:w="2294" w:type="dxa"/>
                  <w:shd w:val="clear" w:color="auto" w:fill="auto"/>
                </w:tcPr>
                <w:p w:rsidR="005E2327" w:rsidRPr="00364F54" w:rsidRDefault="005E2327" w:rsidP="00DD41E0">
                  <w:pPr>
                    <w:autoSpaceDE w:val="0"/>
                    <w:autoSpaceDN w:val="0"/>
                    <w:adjustRightInd w:val="0"/>
                    <w:spacing w:after="200" w:line="276" w:lineRule="auto"/>
                    <w:rPr>
                      <w:rFonts w:eastAsia="Calibri"/>
                    </w:rPr>
                  </w:pPr>
                </w:p>
              </w:tc>
            </w:tr>
          </w:tbl>
          <w:p w:rsidR="005E2327" w:rsidRDefault="005E2327" w:rsidP="005E2327">
            <w:pPr>
              <w:rPr>
                <w:rFonts w:eastAsia="Calibri"/>
                <w:color w:val="000000"/>
              </w:rPr>
            </w:pPr>
            <w:r>
              <w:rPr>
                <w:rFonts w:eastAsia="Calibri"/>
                <w:color w:val="000000"/>
              </w:rPr>
              <w:t xml:space="preserve">       </w:t>
            </w:r>
            <w:r w:rsidR="004D6F0E" w:rsidRPr="005E2327">
              <w:rPr>
                <w:rFonts w:eastAsia="Calibri"/>
                <w:noProof/>
                <w:color w:val="000000"/>
              </w:rPr>
              <w:drawing>
                <wp:inline distT="0" distB="0" distL="0" distR="0">
                  <wp:extent cx="2926080" cy="175260"/>
                  <wp:effectExtent l="0" t="0" r="7620" b="0"/>
                  <wp:docPr id="18"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26080" cy="175260"/>
                          </a:xfrm>
                          <a:prstGeom prst="rect">
                            <a:avLst/>
                          </a:prstGeom>
                          <a:noFill/>
                          <a:ln>
                            <a:noFill/>
                          </a:ln>
                        </pic:spPr>
                      </pic:pic>
                    </a:graphicData>
                  </a:graphic>
                </wp:inline>
              </w:drawing>
            </w:r>
          </w:p>
          <w:p w:rsidR="005E2327" w:rsidRDefault="005E2327" w:rsidP="005E2327">
            <w:pPr>
              <w:rPr>
                <w:rFonts w:eastAsia="Calibri"/>
                <w:color w:val="000000"/>
              </w:rPr>
            </w:pPr>
            <w:r>
              <w:rPr>
                <w:rFonts w:eastAsia="Calibri"/>
                <w:color w:val="000000"/>
              </w:rPr>
              <w:t xml:space="preserve">            </w:t>
            </w:r>
            <w:r w:rsidRPr="00594BF3">
              <w:rPr>
                <w:rFonts w:eastAsia="Calibri"/>
                <w:color w:val="000000"/>
              </w:rPr>
              <w:t>Boys wearing tennis shoes = ½ the class</w:t>
            </w:r>
          </w:p>
          <w:p w:rsidR="005E2327" w:rsidRDefault="005E2327" w:rsidP="005E2327">
            <w:pPr>
              <w:rPr>
                <w:rFonts w:eastAsia="Calibri"/>
                <w:color w:val="000000"/>
              </w:rPr>
            </w:pPr>
          </w:p>
          <w:p w:rsidR="005E2327" w:rsidRPr="00594BF3" w:rsidRDefault="005E2327" w:rsidP="005E2327">
            <w:pPr>
              <w:rPr>
                <w:rFonts w:eastAsia="Calibri"/>
                <w:color w:val="000000"/>
              </w:rPr>
            </w:pPr>
          </w:p>
          <w:p w:rsidR="005E2327" w:rsidRPr="00594BF3" w:rsidRDefault="005E2327" w:rsidP="005E2327">
            <w:pPr>
              <w:rPr>
                <w:rFonts w:eastAsia="Calibri"/>
                <w:color w:val="000000"/>
              </w:rPr>
            </w:pPr>
            <w:r w:rsidRPr="00594BF3">
              <w:rPr>
                <w:rFonts w:eastAsia="Calibri"/>
                <w:color w:val="000000"/>
              </w:rPr>
              <w:t>The array model is very transferable from whole number work and then to binomials.</w:t>
            </w:r>
          </w:p>
          <w:p w:rsidR="00AD5B04" w:rsidRDefault="00AD5B04" w:rsidP="00AD5B04">
            <w:pPr>
              <w:pStyle w:val="Heading2"/>
              <w:rPr>
                <w:color w:val="auto"/>
                <w:sz w:val="32"/>
                <w:szCs w:val="32"/>
              </w:rPr>
            </w:pPr>
            <w:r>
              <w:rPr>
                <w:color w:val="auto"/>
                <w:sz w:val="32"/>
                <w:szCs w:val="32"/>
              </w:rPr>
              <w:t>Example 6</w:t>
            </w:r>
          </w:p>
          <w:p w:rsidR="00AD5B04" w:rsidRDefault="00AD5B04" w:rsidP="00AD5B04"/>
          <w:p w:rsidR="005E2327" w:rsidRDefault="005E2327" w:rsidP="005E2327">
            <w:pPr>
              <w:rPr>
                <w:rFonts w:eastAsia="Calibri"/>
                <w:color w:val="000000"/>
              </w:rPr>
            </w:pPr>
            <w:r>
              <w:rPr>
                <w:rFonts w:eastAsia="Calibri"/>
                <w:color w:val="000000"/>
              </w:rPr>
              <w:t>In solving the problem 2/3 x</w:t>
            </w:r>
            <w:r w:rsidRPr="00A969BA">
              <w:rPr>
                <w:rFonts w:eastAsia="Calibri"/>
                <w:color w:val="000000"/>
              </w:rPr>
              <w:t xml:space="preserve"> 4/5, students use an area model to visualize it as a 2 by 4 array of small rectangles each of which has side lengths 1/3</w:t>
            </w:r>
            <w:r>
              <w:rPr>
                <w:rFonts w:eastAsia="Calibri"/>
                <w:color w:val="000000"/>
              </w:rPr>
              <w:t xml:space="preserve"> and 1/5. They reason that 1/3 x 1/5 = 1/(3 x </w:t>
            </w:r>
            <w:r w:rsidRPr="00A969BA">
              <w:rPr>
                <w:rFonts w:eastAsia="Calibri"/>
                <w:color w:val="000000"/>
              </w:rPr>
              <w:t>5) by counting squares in the entire rectangle, so the area of the shaded a</w:t>
            </w:r>
            <w:r>
              <w:rPr>
                <w:rFonts w:eastAsia="Calibri"/>
                <w:color w:val="000000"/>
              </w:rPr>
              <w:t>rea is (2 x 4) x 1/(3 x 5) = (2 x 5)/(3 x</w:t>
            </w:r>
            <w:r w:rsidRPr="00A969BA">
              <w:rPr>
                <w:rFonts w:eastAsia="Calibri"/>
                <w:color w:val="000000"/>
              </w:rPr>
              <w:t xml:space="preserve"> 5).  They can explain that the product is less than 4/5 because they are finding 2/3 of 4/5.  They can further estimate that the answer must be between 2/5 and 4/5 because of is more than 1/2 of 4/5 and less than one group of 4/5.</w:t>
            </w:r>
            <w:r>
              <w:rPr>
                <w:rFonts w:eastAsia="Calibri"/>
                <w:color w:val="000000"/>
              </w:rPr>
              <w:t xml:space="preserve">     </w:t>
            </w:r>
          </w:p>
          <w:p w:rsidR="005E2327" w:rsidRDefault="005E2327" w:rsidP="005E2327">
            <w:pPr>
              <w:rPr>
                <w:rFonts w:eastAsia="Calibri"/>
                <w:color w:val="000000"/>
              </w:rPr>
            </w:pPr>
          </w:p>
          <w:p w:rsidR="0029247C" w:rsidRPr="005E2327" w:rsidRDefault="004D6F0E" w:rsidP="005E2327">
            <w:r w:rsidRPr="00C537F5">
              <w:rPr>
                <w:noProof/>
              </w:rPr>
              <w:drawing>
                <wp:inline distT="0" distB="0" distL="0" distR="0">
                  <wp:extent cx="1447800" cy="1417320"/>
                  <wp:effectExtent l="0" t="0" r="0" b="0"/>
                  <wp:docPr id="19"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0" cy="141732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simplePos x="0" y="0"/>
                      <wp:positionH relativeFrom="column">
                        <wp:posOffset>3592830</wp:posOffset>
                      </wp:positionH>
                      <wp:positionV relativeFrom="paragraph">
                        <wp:posOffset>6878320</wp:posOffset>
                      </wp:positionV>
                      <wp:extent cx="2638425" cy="695325"/>
                      <wp:effectExtent l="0" t="0" r="28575" b="28575"/>
                      <wp:wrapNone/>
                      <wp:docPr id="1"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695325"/>
                              </a:xfrm>
                              <a:prstGeom prst="rect">
                                <a:avLst/>
                              </a:prstGeom>
                              <a:solidFill>
                                <a:sysClr val="window" lastClr="FFFFFF"/>
                              </a:solidFill>
                              <a:ln w="6350">
                                <a:solidFill>
                                  <a:prstClr val="black"/>
                                </a:solidFill>
                              </a:ln>
                              <a:effectLst/>
                            </wps:spPr>
                            <wps:txbx>
                              <w:txbxContent>
                                <w:p w:rsidR="005E2327" w:rsidRDefault="005E2327" w:rsidP="005E2327">
                                  <w:pPr>
                                    <w:jc w:val="center"/>
                                  </w:pPr>
                                  <w:r w:rsidRPr="00A969BA">
                                    <w:t>The area model and the line segments show that the area is the same quantity as the product of the side lengths.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4" o:spid="_x0000_s1026" type="#_x0000_t202" style="position:absolute;margin-left:282.9pt;margin-top:541.6pt;width:207.7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" fillcolor="window" strokeweight=".5pt">
                      <v:path arrowok="t"/>
                      <v:textbox>
                        <w:txbxContent>
                          <w:p w:rsidR="005E2327" w:rsidRDefault="005E2327" w:rsidP="005E2327">
                            <w:pPr>
                              <w:jc w:val="center"/>
                            </w:pPr>
                            <w:r w:rsidRPr="00A969BA">
                              <w:t>The area model and the line segments show that the area is the same quantity as the product of the side lengths.</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3592830</wp:posOffset>
                      </wp:positionH>
                      <wp:positionV relativeFrom="paragraph">
                        <wp:posOffset>6878320</wp:posOffset>
                      </wp:positionV>
                      <wp:extent cx="2638425" cy="695325"/>
                      <wp:effectExtent l="0" t="0" r="28575" b="28575"/>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695325"/>
                              </a:xfrm>
                              <a:prstGeom prst="rect">
                                <a:avLst/>
                              </a:prstGeom>
                              <a:solidFill>
                                <a:sysClr val="window" lastClr="FFFFFF"/>
                              </a:solidFill>
                              <a:ln w="6350">
                                <a:solidFill>
                                  <a:prstClr val="black"/>
                                </a:solidFill>
                              </a:ln>
                              <a:effectLst/>
                            </wps:spPr>
                            <wps:txbx>
                              <w:txbxContent>
                                <w:p w:rsidR="005E2327" w:rsidRDefault="005E2327" w:rsidP="005E2327">
                                  <w:pPr>
                                    <w:jc w:val="center"/>
                                  </w:pPr>
                                  <w:r w:rsidRPr="00A969BA">
                                    <w:t>The area model and the line segments show that the area is the same quantity as the product of the side lengths.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margin-left:282.9pt;margin-top:541.6pt;width:207.7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" fillcolor="window" strokeweight=".5pt">
                      <v:path arrowok="t"/>
                      <v:textbox>
                        <w:txbxContent>
                          <w:p w:rsidR="005E2327" w:rsidRDefault="005E2327" w:rsidP="005E2327">
                            <w:pPr>
                              <w:jc w:val="center"/>
                            </w:pPr>
                            <w:r w:rsidRPr="00A969BA">
                              <w:t>The area model and the line segments show that the area is the same quantity as the product of the side lengths.</w:t>
                            </w:r>
                          </w:p>
                        </w:txbxContent>
                      </v:textbox>
                    </v:shape>
                  </w:pict>
                </mc:Fallback>
              </mc:AlternateContent>
            </w:r>
            <w:r w:rsidR="005E2327">
              <w:rPr>
                <w:noProof/>
              </w:rPr>
              <w:t xml:space="preserve">   </w:t>
            </w:r>
            <w:r w:rsidRPr="00C537F5">
              <w:rPr>
                <w:noProof/>
              </w:rPr>
              <w:drawing>
                <wp:inline distT="0" distB="0" distL="0" distR="0">
                  <wp:extent cx="2087880" cy="678180"/>
                  <wp:effectExtent l="0" t="0" r="7620" b="762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87880" cy="678180"/>
                          </a:xfrm>
                          <a:prstGeom prst="rect">
                            <a:avLst/>
                          </a:prstGeom>
                          <a:noFill/>
                          <a:ln>
                            <a:noFill/>
                          </a:ln>
                        </pic:spPr>
                      </pic:pic>
                    </a:graphicData>
                  </a:graphic>
                </wp:inline>
              </w:drawing>
            </w:r>
          </w:p>
        </w:tc>
      </w:tr>
      <w:tr w:rsidR="00B54204" w:rsidRPr="00EA4B0B">
        <w:tc>
          <w:tcPr>
            <w:tcW w:w="2577" w:type="dxa"/>
            <w:gridSpan w:val="2"/>
            <w:shd w:val="clear" w:color="auto" w:fill="003399"/>
          </w:tcPr>
          <w:p w:rsidR="00B54204" w:rsidRPr="00EA4B0B" w:rsidRDefault="00B54204" w:rsidP="00C037F0">
            <w:pPr>
              <w:pStyle w:val="BodyText"/>
              <w:spacing w:after="0"/>
            </w:pPr>
          </w:p>
        </w:tc>
        <w:tc>
          <w:tcPr>
            <w:tcW w:w="8935" w:type="dxa"/>
            <w:gridSpan w:val="2"/>
            <w:shd w:val="clear" w:color="auto" w:fill="003399"/>
          </w:tcPr>
          <w:p w:rsidR="00B54204" w:rsidRPr="00E56E4A" w:rsidRDefault="00B54204" w:rsidP="00C037F0">
            <w:pPr>
              <w:pStyle w:val="BodyText"/>
              <w:spacing w:after="0"/>
              <w:rPr>
                <w:color w:val="FF0000"/>
              </w:rPr>
            </w:pPr>
          </w:p>
        </w:tc>
      </w:tr>
      <w:tr w:rsidR="00B54204" w:rsidRPr="00360001" w:rsidTr="006F5BF8">
        <w:trPr>
          <w:trHeight w:val="80"/>
        </w:trPr>
        <w:tc>
          <w:tcPr>
            <w:tcW w:w="237" w:type="dxa"/>
            <w:vAlign w:val="center"/>
          </w:tcPr>
          <w:p w:rsidR="00B54204" w:rsidRPr="00EA4B0B" w:rsidRDefault="00B54204" w:rsidP="009E18D5">
            <w:pPr>
              <w:pStyle w:val="NewsletterTitle"/>
              <w:jc w:val="left"/>
              <w:rPr>
                <w:color w:val="auto"/>
              </w:rPr>
            </w:pPr>
          </w:p>
        </w:tc>
        <w:tc>
          <w:tcPr>
            <w:tcW w:w="11275" w:type="dxa"/>
            <w:gridSpan w:val="3"/>
            <w:vAlign w:val="center"/>
          </w:tcPr>
          <w:p w:rsidR="00B12766" w:rsidRDefault="009978C1" w:rsidP="000862E2">
            <w:pPr>
              <w:pStyle w:val="NewsletterTitle"/>
              <w:jc w:val="left"/>
              <w:rPr>
                <w:rFonts w:ascii="Verdana" w:hAnsi="Verdana"/>
                <w:b/>
                <w:color w:val="auto"/>
                <w:sz w:val="22"/>
                <w:szCs w:val="20"/>
              </w:rPr>
            </w:pPr>
            <w:r>
              <w:rPr>
                <w:rFonts w:ascii="Verdana" w:hAnsi="Verdana"/>
                <w:b/>
                <w:color w:val="auto"/>
                <w:sz w:val="22"/>
                <w:szCs w:val="20"/>
              </w:rPr>
              <w:t>Activities at Home:</w:t>
            </w:r>
          </w:p>
          <w:p w:rsidR="00484643" w:rsidRDefault="00484643" w:rsidP="00484643">
            <w:pPr>
              <w:numPr>
                <w:ilvl w:val="0"/>
                <w:numId w:val="28"/>
              </w:numPr>
              <w:shd w:val="clear" w:color="auto" w:fill="FFFFFF"/>
              <w:spacing w:before="100" w:beforeAutospacing="1" w:after="100" w:afterAutospacing="1"/>
              <w:rPr>
                <w:rFonts w:ascii="Arial" w:hAnsi="Arial" w:cs="Arial"/>
                <w:sz w:val="20"/>
                <w:szCs w:val="20"/>
              </w:rPr>
            </w:pPr>
            <w:r>
              <w:rPr>
                <w:rFonts w:ascii="Arial" w:hAnsi="Arial" w:cs="Arial"/>
                <w:sz w:val="20"/>
                <w:szCs w:val="20"/>
              </w:rPr>
              <w:t>Create or pick numbers to make fractions. Add, subtract, or simplify the fractions that you find.</w:t>
            </w:r>
          </w:p>
          <w:p w:rsidR="00484643" w:rsidRDefault="00484643" w:rsidP="00484643">
            <w:pPr>
              <w:numPr>
                <w:ilvl w:val="0"/>
                <w:numId w:val="28"/>
              </w:numPr>
              <w:shd w:val="clear" w:color="auto" w:fill="FFFFFF"/>
              <w:spacing w:before="100" w:beforeAutospacing="1" w:after="100" w:afterAutospacing="1"/>
              <w:rPr>
                <w:rFonts w:ascii="Arial" w:hAnsi="Arial" w:cs="Arial"/>
                <w:sz w:val="20"/>
                <w:szCs w:val="20"/>
              </w:rPr>
            </w:pPr>
            <w:r>
              <w:rPr>
                <w:rFonts w:ascii="Arial" w:hAnsi="Arial" w:cs="Arial"/>
                <w:sz w:val="20"/>
                <w:szCs w:val="20"/>
              </w:rPr>
              <w:t>Find examples of fractions around the house or neighborhood. Add, subtract, multiply, divide or simplify the fractions that you find.</w:t>
            </w:r>
          </w:p>
          <w:p w:rsidR="00484643" w:rsidRDefault="00484643" w:rsidP="00484643">
            <w:pPr>
              <w:numPr>
                <w:ilvl w:val="0"/>
                <w:numId w:val="28"/>
              </w:numPr>
              <w:shd w:val="clear" w:color="auto" w:fill="FFFFFF"/>
              <w:spacing w:before="100" w:beforeAutospacing="1" w:after="100" w:afterAutospacing="1"/>
              <w:rPr>
                <w:rFonts w:ascii="Arial" w:hAnsi="Arial" w:cs="Arial"/>
                <w:sz w:val="20"/>
                <w:szCs w:val="20"/>
              </w:rPr>
            </w:pPr>
            <w:r>
              <w:rPr>
                <w:rFonts w:ascii="Arial" w:hAnsi="Arial" w:cs="Arial"/>
                <w:sz w:val="20"/>
                <w:szCs w:val="20"/>
              </w:rPr>
              <w:t xml:space="preserve">Create numbers to use in fractions. Draw these fractions as parts of a whole or set. </w:t>
            </w:r>
          </w:p>
          <w:p w:rsidR="00484643" w:rsidRDefault="00484643" w:rsidP="00484643">
            <w:pPr>
              <w:numPr>
                <w:ilvl w:val="0"/>
                <w:numId w:val="28"/>
              </w:numPr>
              <w:shd w:val="clear" w:color="auto" w:fill="FFFFFF"/>
              <w:spacing w:before="100" w:beforeAutospacing="1" w:after="100" w:afterAutospacing="1"/>
              <w:rPr>
                <w:rFonts w:ascii="Arial" w:hAnsi="Arial" w:cs="Arial"/>
                <w:sz w:val="20"/>
                <w:szCs w:val="20"/>
              </w:rPr>
            </w:pPr>
            <w:r>
              <w:rPr>
                <w:rFonts w:ascii="Arial" w:hAnsi="Arial" w:cs="Arial"/>
                <w:sz w:val="20"/>
                <w:szCs w:val="20"/>
              </w:rPr>
              <w:t>Use measuring cups when baking or cooking.</w:t>
            </w:r>
          </w:p>
          <w:p w:rsidR="00484643" w:rsidRDefault="00484643" w:rsidP="00484643">
            <w:pPr>
              <w:numPr>
                <w:ilvl w:val="0"/>
                <w:numId w:val="28"/>
              </w:numPr>
              <w:shd w:val="clear" w:color="auto" w:fill="FFFFFF"/>
              <w:spacing w:before="100" w:beforeAutospacing="1" w:after="100" w:afterAutospacing="1"/>
              <w:rPr>
                <w:rFonts w:ascii="Arial" w:hAnsi="Arial" w:cs="Arial"/>
                <w:sz w:val="20"/>
                <w:szCs w:val="20"/>
              </w:rPr>
            </w:pPr>
            <w:r>
              <w:rPr>
                <w:rFonts w:ascii="Arial" w:hAnsi="Arial" w:cs="Arial"/>
                <w:sz w:val="20"/>
                <w:szCs w:val="20"/>
              </w:rPr>
              <w:t xml:space="preserve">Identify the use of decimals in sporting events and in newspapers. </w:t>
            </w:r>
          </w:p>
          <w:p w:rsidR="00484643" w:rsidRDefault="00484643" w:rsidP="00484643">
            <w:pPr>
              <w:numPr>
                <w:ilvl w:val="0"/>
                <w:numId w:val="28"/>
              </w:numPr>
              <w:shd w:val="clear" w:color="auto" w:fill="FFFFFF"/>
              <w:spacing w:before="100" w:beforeAutospacing="1" w:after="100" w:afterAutospacing="1"/>
              <w:rPr>
                <w:rFonts w:ascii="Arial" w:hAnsi="Arial" w:cs="Arial"/>
                <w:sz w:val="20"/>
                <w:szCs w:val="20"/>
              </w:rPr>
            </w:pPr>
            <w:r>
              <w:rPr>
                <w:rFonts w:ascii="Arial" w:hAnsi="Arial" w:cs="Arial"/>
                <w:sz w:val="20"/>
                <w:szCs w:val="20"/>
              </w:rPr>
              <w:t>Draw different shapes. Divide them into different fractions.</w:t>
            </w:r>
          </w:p>
          <w:p w:rsidR="00484643" w:rsidRDefault="00484643" w:rsidP="00484643">
            <w:pPr>
              <w:numPr>
                <w:ilvl w:val="0"/>
                <w:numId w:val="28"/>
              </w:numPr>
              <w:shd w:val="clear" w:color="auto" w:fill="FFFFFF"/>
              <w:spacing w:before="100" w:beforeAutospacing="1" w:after="100" w:afterAutospacing="1"/>
              <w:rPr>
                <w:rFonts w:ascii="Arial" w:hAnsi="Arial" w:cs="Arial"/>
                <w:sz w:val="20"/>
                <w:szCs w:val="20"/>
              </w:rPr>
            </w:pPr>
            <w:r>
              <w:rPr>
                <w:rFonts w:ascii="Arial" w:hAnsi="Arial" w:cs="Arial"/>
                <w:sz w:val="20"/>
                <w:szCs w:val="20"/>
              </w:rPr>
              <w:t>Practice multiplication and division facts.</w:t>
            </w:r>
          </w:p>
          <w:p w:rsidR="009978C1" w:rsidRPr="009978C1" w:rsidRDefault="009978C1" w:rsidP="00484643">
            <w:pPr>
              <w:shd w:val="clear" w:color="auto" w:fill="FFFFFF"/>
              <w:spacing w:before="100" w:beforeAutospacing="1" w:after="100" w:afterAutospacing="1"/>
              <w:ind w:left="720"/>
              <w:rPr>
                <w:rFonts w:ascii="Verdana" w:hAnsi="Verdana"/>
                <w:b/>
                <w:sz w:val="22"/>
                <w:szCs w:val="20"/>
              </w:rPr>
            </w:pPr>
          </w:p>
        </w:tc>
      </w:tr>
      <w:tr w:rsidR="00B54204" w:rsidRPr="00EA4B0B">
        <w:trPr>
          <w:trHeight w:val="80"/>
        </w:trPr>
        <w:tc>
          <w:tcPr>
            <w:tcW w:w="2577" w:type="dxa"/>
            <w:gridSpan w:val="2"/>
            <w:shd w:val="clear" w:color="auto" w:fill="003399"/>
          </w:tcPr>
          <w:p w:rsidR="00B54204" w:rsidRPr="00EA4B0B" w:rsidRDefault="00B54204" w:rsidP="00C037F0">
            <w:pPr>
              <w:pStyle w:val="NewsletterDate"/>
              <w:spacing w:before="0" w:after="0"/>
              <w:rPr>
                <w:color w:val="auto"/>
              </w:rPr>
            </w:pPr>
          </w:p>
        </w:tc>
        <w:tc>
          <w:tcPr>
            <w:tcW w:w="8935" w:type="dxa"/>
            <w:gridSpan w:val="2"/>
            <w:shd w:val="clear" w:color="auto" w:fill="003399"/>
          </w:tcPr>
          <w:p w:rsidR="00B54204" w:rsidRPr="00EA4B0B" w:rsidRDefault="00B54204" w:rsidP="00C037F0">
            <w:pPr>
              <w:pStyle w:val="VolumeandIssue"/>
              <w:spacing w:before="0" w:after="0"/>
              <w:rPr>
                <w:color w:val="auto"/>
              </w:rPr>
            </w:pPr>
          </w:p>
        </w:tc>
      </w:tr>
    </w:tbl>
    <w:p w:rsidR="000A3B97" w:rsidRPr="00FB5DAE" w:rsidRDefault="000A3B97" w:rsidP="001F302F">
      <w:pPr>
        <w:rPr>
          <w:sz w:val="12"/>
          <w:szCs w:val="12"/>
        </w:rPr>
      </w:pPr>
    </w:p>
    <w:sectPr w:rsidR="000A3B97" w:rsidRPr="00FB5DAE" w:rsidSect="00C97E3F">
      <w:footerReference w:type="default" r:id="rId27"/>
      <w:pgSz w:w="12240" w:h="15840"/>
      <w:pgMar w:top="630" w:right="864" w:bottom="5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27D" w:rsidRDefault="00F0427D">
      <w:r>
        <w:separator/>
      </w:r>
    </w:p>
  </w:endnote>
  <w:endnote w:type="continuationSeparator" w:id="0">
    <w:p w:rsidR="00F0427D" w:rsidRDefault="00F0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8C1" w:rsidRDefault="009978C1">
    <w:pPr>
      <w:pStyle w:val="Footer"/>
    </w:pPr>
    <w:r>
      <w:t>G</w:t>
    </w:r>
    <w:r w:rsidR="005E2327">
      <w:t>rade 5 Unit 4</w:t>
    </w:r>
    <w:r>
      <w:tab/>
    </w:r>
    <w:r>
      <w:tab/>
      <w:t>2015-2016</w:t>
    </w:r>
  </w:p>
  <w:p w:rsidR="009978C1" w:rsidRDefault="00997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27D" w:rsidRDefault="00F0427D">
      <w:r>
        <w:separator/>
      </w:r>
    </w:p>
  </w:footnote>
  <w:footnote w:type="continuationSeparator" w:id="0">
    <w:p w:rsidR="00F0427D" w:rsidRDefault="00F04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B9604A"/>
    <w:multiLevelType w:val="multilevel"/>
    <w:tmpl w:val="9732036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A300508"/>
    <w:multiLevelType w:val="multilevel"/>
    <w:tmpl w:val="77FC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F0286C"/>
    <w:multiLevelType w:val="hybridMultilevel"/>
    <w:tmpl w:val="687AA2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C567670"/>
    <w:multiLevelType w:val="hybridMultilevel"/>
    <w:tmpl w:val="1640FD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23C4CC3"/>
    <w:multiLevelType w:val="hybridMultilevel"/>
    <w:tmpl w:val="DFD23814"/>
    <w:lvl w:ilvl="0" w:tplc="F01C2A7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A111AA"/>
    <w:multiLevelType w:val="hybridMultilevel"/>
    <w:tmpl w:val="A75C1A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3F31A8"/>
    <w:multiLevelType w:val="hybridMultilevel"/>
    <w:tmpl w:val="707A9B1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9C44D2"/>
    <w:multiLevelType w:val="hybridMultilevel"/>
    <w:tmpl w:val="FBDA7EE6"/>
    <w:lvl w:ilvl="0" w:tplc="ABA42E8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A81518"/>
    <w:multiLevelType w:val="multilevel"/>
    <w:tmpl w:val="F500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2A0477"/>
    <w:multiLevelType w:val="hybridMultilevel"/>
    <w:tmpl w:val="32126978"/>
    <w:lvl w:ilvl="0" w:tplc="04090001">
      <w:start w:val="1"/>
      <w:numFmt w:val="bullet"/>
      <w:lvlText w:val=""/>
      <w:lvlJc w:val="left"/>
      <w:pPr>
        <w:tabs>
          <w:tab w:val="num" w:pos="720"/>
        </w:tabs>
        <w:ind w:left="720" w:hanging="360"/>
      </w:pPr>
      <w:rPr>
        <w:rFonts w:ascii="Symbol" w:hAnsi="Symbol" w:hint="default"/>
      </w:rPr>
    </w:lvl>
    <w:lvl w:ilvl="1" w:tplc="F468BFC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1D64EC"/>
    <w:multiLevelType w:val="hybridMultilevel"/>
    <w:tmpl w:val="A858E902"/>
    <w:lvl w:ilvl="0" w:tplc="F89C1694">
      <w:start w:val="1"/>
      <w:numFmt w:val="upperLetter"/>
      <w:lvlText w:val="%1)"/>
      <w:lvlJc w:val="left"/>
      <w:pPr>
        <w:tabs>
          <w:tab w:val="num" w:pos="720"/>
        </w:tabs>
        <w:ind w:left="720" w:hanging="360"/>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34055A"/>
    <w:multiLevelType w:val="hybridMultilevel"/>
    <w:tmpl w:val="D0D4C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AA0674"/>
    <w:multiLevelType w:val="hybridMultilevel"/>
    <w:tmpl w:val="96E0AE2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D426BB"/>
    <w:multiLevelType w:val="hybridMultilevel"/>
    <w:tmpl w:val="9732036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E742DEA"/>
    <w:multiLevelType w:val="hybridMultilevel"/>
    <w:tmpl w:val="52087E60"/>
    <w:lvl w:ilvl="0" w:tplc="00010409">
      <w:start w:val="1"/>
      <w:numFmt w:val="bullet"/>
      <w:lvlText w:val=""/>
      <w:lvlJc w:val="left"/>
      <w:pPr>
        <w:tabs>
          <w:tab w:val="num" w:pos="360"/>
        </w:tabs>
        <w:ind w:left="36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7" w15:restartNumberingAfterBreak="0">
    <w:nsid w:val="746A536B"/>
    <w:multiLevelType w:val="hybridMultilevel"/>
    <w:tmpl w:val="09824584"/>
    <w:lvl w:ilvl="0" w:tplc="C8F2684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2736E"/>
    <w:multiLevelType w:val="hybridMultilevel"/>
    <w:tmpl w:val="A3AEF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8F52AB"/>
    <w:multiLevelType w:val="hybridMultilevel"/>
    <w:tmpl w:val="7506FA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2"/>
  </w:num>
  <w:num w:numId="18">
    <w:abstractNumId w:val="29"/>
  </w:num>
  <w:num w:numId="19">
    <w:abstractNumId w:val="16"/>
  </w:num>
  <w:num w:numId="20">
    <w:abstractNumId w:val="24"/>
  </w:num>
  <w:num w:numId="21">
    <w:abstractNumId w:val="14"/>
  </w:num>
  <w:num w:numId="22">
    <w:abstractNumId w:val="15"/>
  </w:num>
  <w:num w:numId="23">
    <w:abstractNumId w:val="18"/>
  </w:num>
  <w:num w:numId="24">
    <w:abstractNumId w:val="27"/>
  </w:num>
  <w:num w:numId="25">
    <w:abstractNumId w:val="23"/>
  </w:num>
  <w:num w:numId="26">
    <w:abstractNumId w:val="17"/>
  </w:num>
  <w:num w:numId="27">
    <w:abstractNumId w:val="28"/>
  </w:num>
  <w:num w:numId="28">
    <w:abstractNumId w:val="20"/>
  </w:num>
  <w:num w:numId="29">
    <w:abstractNumId w:val="2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0B"/>
    <w:rsid w:val="000034C8"/>
    <w:rsid w:val="000074B1"/>
    <w:rsid w:val="000120E3"/>
    <w:rsid w:val="000268E7"/>
    <w:rsid w:val="00037900"/>
    <w:rsid w:val="0004638D"/>
    <w:rsid w:val="00053BD9"/>
    <w:rsid w:val="00054D9C"/>
    <w:rsid w:val="00063873"/>
    <w:rsid w:val="00064ABB"/>
    <w:rsid w:val="0008500C"/>
    <w:rsid w:val="000862E2"/>
    <w:rsid w:val="0009719E"/>
    <w:rsid w:val="000A0174"/>
    <w:rsid w:val="000A2255"/>
    <w:rsid w:val="000A3B97"/>
    <w:rsid w:val="000A615C"/>
    <w:rsid w:val="000B26BC"/>
    <w:rsid w:val="000B5D28"/>
    <w:rsid w:val="000B64E3"/>
    <w:rsid w:val="000D333F"/>
    <w:rsid w:val="000F759E"/>
    <w:rsid w:val="000F7886"/>
    <w:rsid w:val="00152026"/>
    <w:rsid w:val="00160267"/>
    <w:rsid w:val="00166952"/>
    <w:rsid w:val="0018091B"/>
    <w:rsid w:val="00185854"/>
    <w:rsid w:val="001A0764"/>
    <w:rsid w:val="001A73A5"/>
    <w:rsid w:val="001B594F"/>
    <w:rsid w:val="001C513D"/>
    <w:rsid w:val="001F302F"/>
    <w:rsid w:val="001F3DA2"/>
    <w:rsid w:val="00204C52"/>
    <w:rsid w:val="00205897"/>
    <w:rsid w:val="00207A3F"/>
    <w:rsid w:val="002261A3"/>
    <w:rsid w:val="00256107"/>
    <w:rsid w:val="002805A7"/>
    <w:rsid w:val="00286F69"/>
    <w:rsid w:val="002913A0"/>
    <w:rsid w:val="0029247C"/>
    <w:rsid w:val="002938A3"/>
    <w:rsid w:val="002A1EC9"/>
    <w:rsid w:val="002C5EB8"/>
    <w:rsid w:val="002D08DA"/>
    <w:rsid w:val="002E724C"/>
    <w:rsid w:val="002F1D68"/>
    <w:rsid w:val="00310FD1"/>
    <w:rsid w:val="00311C43"/>
    <w:rsid w:val="00323944"/>
    <w:rsid w:val="003241DA"/>
    <w:rsid w:val="00330064"/>
    <w:rsid w:val="0033010D"/>
    <w:rsid w:val="00345B00"/>
    <w:rsid w:val="00355832"/>
    <w:rsid w:val="00356B7C"/>
    <w:rsid w:val="00360001"/>
    <w:rsid w:val="00374F27"/>
    <w:rsid w:val="00382C18"/>
    <w:rsid w:val="003A126B"/>
    <w:rsid w:val="003B267D"/>
    <w:rsid w:val="003C22EC"/>
    <w:rsid w:val="003C2D2C"/>
    <w:rsid w:val="003D26EA"/>
    <w:rsid w:val="0040282C"/>
    <w:rsid w:val="004058E6"/>
    <w:rsid w:val="0041486E"/>
    <w:rsid w:val="00420333"/>
    <w:rsid w:val="0042306F"/>
    <w:rsid w:val="00435C8C"/>
    <w:rsid w:val="00445DFF"/>
    <w:rsid w:val="00461DD5"/>
    <w:rsid w:val="00467D0D"/>
    <w:rsid w:val="00476A3C"/>
    <w:rsid w:val="00484643"/>
    <w:rsid w:val="00487680"/>
    <w:rsid w:val="004A131F"/>
    <w:rsid w:val="004A24B3"/>
    <w:rsid w:val="004A364D"/>
    <w:rsid w:val="004A6D92"/>
    <w:rsid w:val="004B0FFC"/>
    <w:rsid w:val="004B7350"/>
    <w:rsid w:val="004C4476"/>
    <w:rsid w:val="004D1C31"/>
    <w:rsid w:val="004D6F0E"/>
    <w:rsid w:val="0050638D"/>
    <w:rsid w:val="00513E7A"/>
    <w:rsid w:val="005162A5"/>
    <w:rsid w:val="00516ADF"/>
    <w:rsid w:val="0053525C"/>
    <w:rsid w:val="00536FB3"/>
    <w:rsid w:val="00553550"/>
    <w:rsid w:val="00557DF7"/>
    <w:rsid w:val="00583F92"/>
    <w:rsid w:val="00587731"/>
    <w:rsid w:val="005B07C4"/>
    <w:rsid w:val="005B267F"/>
    <w:rsid w:val="005B3F65"/>
    <w:rsid w:val="005B7D74"/>
    <w:rsid w:val="005C7EB0"/>
    <w:rsid w:val="005E2327"/>
    <w:rsid w:val="005E56F0"/>
    <w:rsid w:val="005F19A9"/>
    <w:rsid w:val="005F3C25"/>
    <w:rsid w:val="005F43E4"/>
    <w:rsid w:val="00605A53"/>
    <w:rsid w:val="00607AB7"/>
    <w:rsid w:val="0062037E"/>
    <w:rsid w:val="006301A9"/>
    <w:rsid w:val="00641B4A"/>
    <w:rsid w:val="0065629C"/>
    <w:rsid w:val="006563FA"/>
    <w:rsid w:val="00662180"/>
    <w:rsid w:val="00666163"/>
    <w:rsid w:val="00670A95"/>
    <w:rsid w:val="006740B0"/>
    <w:rsid w:val="006748DD"/>
    <w:rsid w:val="00675AD2"/>
    <w:rsid w:val="006764F4"/>
    <w:rsid w:val="006939DB"/>
    <w:rsid w:val="006A3DC8"/>
    <w:rsid w:val="006B2964"/>
    <w:rsid w:val="006B5CAB"/>
    <w:rsid w:val="006C00BD"/>
    <w:rsid w:val="006C7BA3"/>
    <w:rsid w:val="006D333C"/>
    <w:rsid w:val="006E2B39"/>
    <w:rsid w:val="006F5BF8"/>
    <w:rsid w:val="007011D1"/>
    <w:rsid w:val="007066EA"/>
    <w:rsid w:val="00706858"/>
    <w:rsid w:val="00707DD7"/>
    <w:rsid w:val="00720E26"/>
    <w:rsid w:val="00724A3B"/>
    <w:rsid w:val="00732CB1"/>
    <w:rsid w:val="007526F6"/>
    <w:rsid w:val="0075396B"/>
    <w:rsid w:val="007674AE"/>
    <w:rsid w:val="00784221"/>
    <w:rsid w:val="00785129"/>
    <w:rsid w:val="007854B9"/>
    <w:rsid w:val="007868A2"/>
    <w:rsid w:val="007A110E"/>
    <w:rsid w:val="007B5DC0"/>
    <w:rsid w:val="007B77C1"/>
    <w:rsid w:val="007C6452"/>
    <w:rsid w:val="007D0A4D"/>
    <w:rsid w:val="007E4834"/>
    <w:rsid w:val="007F6DD0"/>
    <w:rsid w:val="00803EA2"/>
    <w:rsid w:val="0080476C"/>
    <w:rsid w:val="008055F1"/>
    <w:rsid w:val="00807288"/>
    <w:rsid w:val="008156C4"/>
    <w:rsid w:val="00820316"/>
    <w:rsid w:val="00854CAF"/>
    <w:rsid w:val="00882EFF"/>
    <w:rsid w:val="0089450C"/>
    <w:rsid w:val="008966A3"/>
    <w:rsid w:val="008A5575"/>
    <w:rsid w:val="008A6D4B"/>
    <w:rsid w:val="008B2818"/>
    <w:rsid w:val="008B5090"/>
    <w:rsid w:val="008C02E2"/>
    <w:rsid w:val="008D0B41"/>
    <w:rsid w:val="008D43E1"/>
    <w:rsid w:val="008D762F"/>
    <w:rsid w:val="008E2256"/>
    <w:rsid w:val="008E3623"/>
    <w:rsid w:val="008E395A"/>
    <w:rsid w:val="008F2ED4"/>
    <w:rsid w:val="00902ABA"/>
    <w:rsid w:val="009073B2"/>
    <w:rsid w:val="00907EBC"/>
    <w:rsid w:val="00917E11"/>
    <w:rsid w:val="00922349"/>
    <w:rsid w:val="009230A7"/>
    <w:rsid w:val="0093052A"/>
    <w:rsid w:val="00937B06"/>
    <w:rsid w:val="009501C1"/>
    <w:rsid w:val="00973C81"/>
    <w:rsid w:val="00974264"/>
    <w:rsid w:val="00977E9B"/>
    <w:rsid w:val="0098307A"/>
    <w:rsid w:val="009978C1"/>
    <w:rsid w:val="009D407E"/>
    <w:rsid w:val="009E18D5"/>
    <w:rsid w:val="009F42E1"/>
    <w:rsid w:val="00A01022"/>
    <w:rsid w:val="00A0659B"/>
    <w:rsid w:val="00A14A6C"/>
    <w:rsid w:val="00A30AD6"/>
    <w:rsid w:val="00A31337"/>
    <w:rsid w:val="00A55198"/>
    <w:rsid w:val="00A562AF"/>
    <w:rsid w:val="00A756A2"/>
    <w:rsid w:val="00AC3E31"/>
    <w:rsid w:val="00AD5B04"/>
    <w:rsid w:val="00AF03CB"/>
    <w:rsid w:val="00AF6CF1"/>
    <w:rsid w:val="00B12766"/>
    <w:rsid w:val="00B21077"/>
    <w:rsid w:val="00B251F8"/>
    <w:rsid w:val="00B3037E"/>
    <w:rsid w:val="00B3116E"/>
    <w:rsid w:val="00B3583B"/>
    <w:rsid w:val="00B54204"/>
    <w:rsid w:val="00B73F28"/>
    <w:rsid w:val="00B751E5"/>
    <w:rsid w:val="00B91AF5"/>
    <w:rsid w:val="00B9701E"/>
    <w:rsid w:val="00BB0A32"/>
    <w:rsid w:val="00BB23F2"/>
    <w:rsid w:val="00BB494C"/>
    <w:rsid w:val="00BD41A5"/>
    <w:rsid w:val="00BD6D7E"/>
    <w:rsid w:val="00BE034A"/>
    <w:rsid w:val="00BE227B"/>
    <w:rsid w:val="00BE540E"/>
    <w:rsid w:val="00BF40C4"/>
    <w:rsid w:val="00C037F0"/>
    <w:rsid w:val="00C05296"/>
    <w:rsid w:val="00C070B3"/>
    <w:rsid w:val="00C2067F"/>
    <w:rsid w:val="00C30FDC"/>
    <w:rsid w:val="00C3172D"/>
    <w:rsid w:val="00C340F5"/>
    <w:rsid w:val="00C4399C"/>
    <w:rsid w:val="00C43D00"/>
    <w:rsid w:val="00C544AF"/>
    <w:rsid w:val="00C62AAE"/>
    <w:rsid w:val="00C65005"/>
    <w:rsid w:val="00C934C9"/>
    <w:rsid w:val="00C951F7"/>
    <w:rsid w:val="00C97E3F"/>
    <w:rsid w:val="00CA304A"/>
    <w:rsid w:val="00CB42CA"/>
    <w:rsid w:val="00CB547E"/>
    <w:rsid w:val="00CB692C"/>
    <w:rsid w:val="00CB71C9"/>
    <w:rsid w:val="00CC35E1"/>
    <w:rsid w:val="00CD0123"/>
    <w:rsid w:val="00CE0C4C"/>
    <w:rsid w:val="00CE6266"/>
    <w:rsid w:val="00D02351"/>
    <w:rsid w:val="00D02F61"/>
    <w:rsid w:val="00D03826"/>
    <w:rsid w:val="00D11DF9"/>
    <w:rsid w:val="00D23C30"/>
    <w:rsid w:val="00D278A8"/>
    <w:rsid w:val="00D608D8"/>
    <w:rsid w:val="00D61208"/>
    <w:rsid w:val="00D647F6"/>
    <w:rsid w:val="00D7361C"/>
    <w:rsid w:val="00D75AF0"/>
    <w:rsid w:val="00D952AE"/>
    <w:rsid w:val="00D96E81"/>
    <w:rsid w:val="00DA3D17"/>
    <w:rsid w:val="00DA3DAB"/>
    <w:rsid w:val="00DB5848"/>
    <w:rsid w:val="00DD0198"/>
    <w:rsid w:val="00DD41E0"/>
    <w:rsid w:val="00DD58FC"/>
    <w:rsid w:val="00DE0066"/>
    <w:rsid w:val="00E10A9A"/>
    <w:rsid w:val="00E128EF"/>
    <w:rsid w:val="00E13F5B"/>
    <w:rsid w:val="00E27281"/>
    <w:rsid w:val="00E56E4A"/>
    <w:rsid w:val="00E63888"/>
    <w:rsid w:val="00E647C2"/>
    <w:rsid w:val="00E73BA2"/>
    <w:rsid w:val="00E7703B"/>
    <w:rsid w:val="00E8006C"/>
    <w:rsid w:val="00E849EC"/>
    <w:rsid w:val="00EA4B0B"/>
    <w:rsid w:val="00EB76B8"/>
    <w:rsid w:val="00EC0E58"/>
    <w:rsid w:val="00EC3574"/>
    <w:rsid w:val="00ED28B8"/>
    <w:rsid w:val="00ED33BD"/>
    <w:rsid w:val="00ED3723"/>
    <w:rsid w:val="00EE287B"/>
    <w:rsid w:val="00EF2D07"/>
    <w:rsid w:val="00EF7AB2"/>
    <w:rsid w:val="00F0427D"/>
    <w:rsid w:val="00F312A6"/>
    <w:rsid w:val="00F4396F"/>
    <w:rsid w:val="00F54792"/>
    <w:rsid w:val="00F71A42"/>
    <w:rsid w:val="00F76BCA"/>
    <w:rsid w:val="00F81DFE"/>
    <w:rsid w:val="00F869F2"/>
    <w:rsid w:val="00FA47F3"/>
    <w:rsid w:val="00FA63BC"/>
    <w:rsid w:val="00FA758E"/>
    <w:rsid w:val="00FB5DAE"/>
    <w:rsid w:val="00FC29CF"/>
    <w:rsid w:val="00FE2C1A"/>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customStyle="1" w:styleId="Masthead">
    <w:name w:val="Masthead"/>
    <w:basedOn w:val="Heading1"/>
    <w:rsid w:val="00EA4B0B"/>
    <w:pPr>
      <w:spacing w:before="0"/>
    </w:pPr>
    <w:rPr>
      <w:rFonts w:ascii="Times New Roman" w:hAnsi="Times New Roman" w:cs="Times New Roman"/>
      <w:b/>
      <w:color w:val="000080"/>
      <w:kern w:val="0"/>
      <w:sz w:val="60"/>
      <w:szCs w:val="20"/>
    </w:rPr>
  </w:style>
  <w:style w:type="paragraph" w:styleId="NormalWeb">
    <w:name w:val="Normal (Web)"/>
    <w:basedOn w:val="Normal"/>
    <w:rsid w:val="00EA4B0B"/>
    <w:pPr>
      <w:spacing w:before="100" w:beforeAutospacing="1" w:after="100" w:afterAutospacing="1"/>
    </w:pPr>
  </w:style>
  <w:style w:type="paragraph" w:customStyle="1" w:styleId="Default">
    <w:name w:val="Default"/>
    <w:rsid w:val="00EF2D07"/>
    <w:pPr>
      <w:autoSpaceDE w:val="0"/>
      <w:autoSpaceDN w:val="0"/>
      <w:adjustRightInd w:val="0"/>
    </w:pPr>
    <w:rPr>
      <w:color w:val="000000"/>
      <w:sz w:val="24"/>
      <w:szCs w:val="24"/>
    </w:rPr>
  </w:style>
  <w:style w:type="paragraph" w:styleId="ListParagraph">
    <w:name w:val="List Paragraph"/>
    <w:basedOn w:val="Normal"/>
    <w:uiPriority w:val="34"/>
    <w:qFormat/>
    <w:rsid w:val="00E56E4A"/>
    <w:pPr>
      <w:ind w:left="720"/>
    </w:pPr>
  </w:style>
  <w:style w:type="paragraph" w:styleId="NoSpacing">
    <w:name w:val="No Spacing"/>
    <w:link w:val="NoSpacingChar"/>
    <w:uiPriority w:val="1"/>
    <w:qFormat/>
    <w:rsid w:val="00E56E4A"/>
    <w:rPr>
      <w:rFonts w:ascii="Calibri" w:eastAsia="Calibri" w:hAnsi="Calibri"/>
      <w:sz w:val="22"/>
      <w:szCs w:val="22"/>
    </w:rPr>
  </w:style>
  <w:style w:type="character" w:customStyle="1" w:styleId="NoSpacingChar">
    <w:name w:val="No Spacing Char"/>
    <w:link w:val="NoSpacing"/>
    <w:uiPriority w:val="1"/>
    <w:rsid w:val="003A126B"/>
    <w:rPr>
      <w:rFonts w:ascii="Calibri" w:eastAsia="Calibri" w:hAnsi="Calibri"/>
      <w:sz w:val="22"/>
      <w:szCs w:val="22"/>
    </w:rPr>
  </w:style>
  <w:style w:type="paragraph" w:styleId="Header">
    <w:name w:val="header"/>
    <w:basedOn w:val="Normal"/>
    <w:link w:val="HeaderChar"/>
    <w:rsid w:val="009978C1"/>
    <w:pPr>
      <w:tabs>
        <w:tab w:val="center" w:pos="4680"/>
        <w:tab w:val="right" w:pos="9360"/>
      </w:tabs>
    </w:pPr>
  </w:style>
  <w:style w:type="character" w:customStyle="1" w:styleId="HeaderChar">
    <w:name w:val="Header Char"/>
    <w:link w:val="Header"/>
    <w:rsid w:val="009978C1"/>
    <w:rPr>
      <w:sz w:val="24"/>
      <w:szCs w:val="24"/>
    </w:rPr>
  </w:style>
  <w:style w:type="paragraph" w:styleId="Footer">
    <w:name w:val="footer"/>
    <w:basedOn w:val="Normal"/>
    <w:link w:val="FooterChar"/>
    <w:uiPriority w:val="99"/>
    <w:rsid w:val="009978C1"/>
    <w:pPr>
      <w:tabs>
        <w:tab w:val="center" w:pos="4680"/>
        <w:tab w:val="right" w:pos="9360"/>
      </w:tabs>
    </w:pPr>
  </w:style>
  <w:style w:type="character" w:customStyle="1" w:styleId="FooterChar">
    <w:name w:val="Footer Char"/>
    <w:link w:val="Footer"/>
    <w:uiPriority w:val="99"/>
    <w:rsid w:val="009978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39870">
      <w:bodyDiv w:val="1"/>
      <w:marLeft w:val="0"/>
      <w:marRight w:val="0"/>
      <w:marTop w:val="0"/>
      <w:marBottom w:val="0"/>
      <w:divBdr>
        <w:top w:val="none" w:sz="0" w:space="0" w:color="auto"/>
        <w:left w:val="none" w:sz="0" w:space="0" w:color="auto"/>
        <w:bottom w:val="none" w:sz="0" w:space="0" w:color="auto"/>
        <w:right w:val="none" w:sz="0" w:space="0" w:color="auto"/>
      </w:divBdr>
    </w:div>
    <w:div w:id="237906194">
      <w:bodyDiv w:val="1"/>
      <w:marLeft w:val="0"/>
      <w:marRight w:val="0"/>
      <w:marTop w:val="0"/>
      <w:marBottom w:val="0"/>
      <w:divBdr>
        <w:top w:val="none" w:sz="0" w:space="0" w:color="auto"/>
        <w:left w:val="none" w:sz="0" w:space="0" w:color="auto"/>
        <w:bottom w:val="none" w:sz="0" w:space="0" w:color="auto"/>
        <w:right w:val="none" w:sz="0" w:space="0" w:color="auto"/>
      </w:divBdr>
    </w:div>
    <w:div w:id="378940374">
      <w:bodyDiv w:val="1"/>
      <w:marLeft w:val="0"/>
      <w:marRight w:val="0"/>
      <w:marTop w:val="0"/>
      <w:marBottom w:val="0"/>
      <w:divBdr>
        <w:top w:val="none" w:sz="0" w:space="0" w:color="auto"/>
        <w:left w:val="none" w:sz="0" w:space="0" w:color="auto"/>
        <w:bottom w:val="none" w:sz="0" w:space="0" w:color="auto"/>
        <w:right w:val="none" w:sz="0" w:space="0" w:color="auto"/>
      </w:divBdr>
    </w:div>
    <w:div w:id="545261159">
      <w:bodyDiv w:val="1"/>
      <w:marLeft w:val="0"/>
      <w:marRight w:val="0"/>
      <w:marTop w:val="0"/>
      <w:marBottom w:val="0"/>
      <w:divBdr>
        <w:top w:val="none" w:sz="0" w:space="0" w:color="auto"/>
        <w:left w:val="none" w:sz="0" w:space="0" w:color="auto"/>
        <w:bottom w:val="none" w:sz="0" w:space="0" w:color="auto"/>
        <w:right w:val="none" w:sz="0" w:space="0" w:color="auto"/>
      </w:divBdr>
      <w:divsChild>
        <w:div w:id="842086221">
          <w:marLeft w:val="0"/>
          <w:marRight w:val="0"/>
          <w:marTop w:val="1185"/>
          <w:marBottom w:val="0"/>
          <w:divBdr>
            <w:top w:val="none" w:sz="0" w:space="0" w:color="auto"/>
            <w:left w:val="none" w:sz="0" w:space="0" w:color="auto"/>
            <w:bottom w:val="none" w:sz="0" w:space="0" w:color="auto"/>
            <w:right w:val="none" w:sz="0" w:space="0" w:color="auto"/>
          </w:divBdr>
          <w:divsChild>
            <w:div w:id="1956400311">
              <w:marLeft w:val="0"/>
              <w:marRight w:val="0"/>
              <w:marTop w:val="0"/>
              <w:marBottom w:val="0"/>
              <w:divBdr>
                <w:top w:val="none" w:sz="0" w:space="0" w:color="auto"/>
                <w:left w:val="none" w:sz="0" w:space="0" w:color="auto"/>
                <w:bottom w:val="none" w:sz="0" w:space="0" w:color="auto"/>
                <w:right w:val="none" w:sz="0" w:space="0" w:color="auto"/>
              </w:divBdr>
              <w:divsChild>
                <w:div w:id="1232152021">
                  <w:marLeft w:val="120"/>
                  <w:marRight w:val="120"/>
                  <w:marTop w:val="0"/>
                  <w:marBottom w:val="0"/>
                  <w:divBdr>
                    <w:top w:val="none" w:sz="0" w:space="0" w:color="auto"/>
                    <w:left w:val="none" w:sz="0" w:space="0" w:color="auto"/>
                    <w:bottom w:val="none" w:sz="0" w:space="0" w:color="auto"/>
                    <w:right w:val="none" w:sz="0" w:space="0" w:color="auto"/>
                  </w:divBdr>
                  <w:divsChild>
                    <w:div w:id="725878626">
                      <w:marLeft w:val="0"/>
                      <w:marRight w:val="0"/>
                      <w:marTop w:val="0"/>
                      <w:marBottom w:val="0"/>
                      <w:divBdr>
                        <w:top w:val="none" w:sz="0" w:space="0" w:color="auto"/>
                        <w:left w:val="none" w:sz="0" w:space="0" w:color="auto"/>
                        <w:bottom w:val="none" w:sz="0" w:space="0" w:color="auto"/>
                        <w:right w:val="none" w:sz="0" w:space="0" w:color="auto"/>
                      </w:divBdr>
                      <w:divsChild>
                        <w:div w:id="444345745">
                          <w:marLeft w:val="0"/>
                          <w:marRight w:val="0"/>
                          <w:marTop w:val="0"/>
                          <w:marBottom w:val="0"/>
                          <w:divBdr>
                            <w:top w:val="none" w:sz="0" w:space="0" w:color="auto"/>
                            <w:left w:val="none" w:sz="0" w:space="0" w:color="auto"/>
                            <w:bottom w:val="none" w:sz="0" w:space="0" w:color="auto"/>
                            <w:right w:val="none" w:sz="0" w:space="0" w:color="auto"/>
                          </w:divBdr>
                          <w:divsChild>
                            <w:div w:id="1729380290">
                              <w:marLeft w:val="0"/>
                              <w:marRight w:val="0"/>
                              <w:marTop w:val="0"/>
                              <w:marBottom w:val="0"/>
                              <w:divBdr>
                                <w:top w:val="none" w:sz="0" w:space="0" w:color="auto"/>
                                <w:left w:val="none" w:sz="0" w:space="0" w:color="auto"/>
                                <w:bottom w:val="none" w:sz="0" w:space="0" w:color="auto"/>
                                <w:right w:val="none" w:sz="0" w:space="0" w:color="auto"/>
                              </w:divBdr>
                              <w:divsChild>
                                <w:div w:id="778600433">
                                  <w:marLeft w:val="0"/>
                                  <w:marRight w:val="0"/>
                                  <w:marTop w:val="0"/>
                                  <w:marBottom w:val="0"/>
                                  <w:divBdr>
                                    <w:top w:val="none" w:sz="0" w:space="0" w:color="auto"/>
                                    <w:left w:val="none" w:sz="0" w:space="0" w:color="auto"/>
                                    <w:bottom w:val="none" w:sz="0" w:space="0" w:color="auto"/>
                                    <w:right w:val="none" w:sz="0" w:space="0" w:color="auto"/>
                                  </w:divBdr>
                                  <w:divsChild>
                                    <w:div w:id="602499190">
                                      <w:marLeft w:val="0"/>
                                      <w:marRight w:val="0"/>
                                      <w:marTop w:val="0"/>
                                      <w:marBottom w:val="0"/>
                                      <w:divBdr>
                                        <w:top w:val="none" w:sz="0" w:space="0" w:color="auto"/>
                                        <w:left w:val="none" w:sz="0" w:space="0" w:color="auto"/>
                                        <w:bottom w:val="none" w:sz="0" w:space="0" w:color="auto"/>
                                        <w:right w:val="none" w:sz="0" w:space="0" w:color="auto"/>
                                      </w:divBdr>
                                      <w:divsChild>
                                        <w:div w:id="2083021982">
                                          <w:marLeft w:val="0"/>
                                          <w:marRight w:val="870"/>
                                          <w:marTop w:val="0"/>
                                          <w:marBottom w:val="0"/>
                                          <w:divBdr>
                                            <w:top w:val="none" w:sz="0" w:space="0" w:color="auto"/>
                                            <w:left w:val="none" w:sz="0" w:space="0" w:color="auto"/>
                                            <w:bottom w:val="none" w:sz="0" w:space="0" w:color="auto"/>
                                            <w:right w:val="none" w:sz="0" w:space="0" w:color="auto"/>
                                          </w:divBdr>
                                          <w:divsChild>
                                            <w:div w:id="6295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479403">
      <w:bodyDiv w:val="1"/>
      <w:marLeft w:val="0"/>
      <w:marRight w:val="0"/>
      <w:marTop w:val="0"/>
      <w:marBottom w:val="0"/>
      <w:divBdr>
        <w:top w:val="none" w:sz="0" w:space="0" w:color="auto"/>
        <w:left w:val="none" w:sz="0" w:space="0" w:color="auto"/>
        <w:bottom w:val="none" w:sz="0" w:space="0" w:color="auto"/>
        <w:right w:val="none" w:sz="0" w:space="0" w:color="auto"/>
      </w:divBdr>
    </w:div>
    <w:div w:id="895429227">
      <w:bodyDiv w:val="1"/>
      <w:marLeft w:val="60"/>
      <w:marRight w:val="60"/>
      <w:marTop w:val="60"/>
      <w:marBottom w:val="15"/>
      <w:divBdr>
        <w:top w:val="none" w:sz="0" w:space="0" w:color="auto"/>
        <w:left w:val="none" w:sz="0" w:space="0" w:color="auto"/>
        <w:bottom w:val="none" w:sz="0" w:space="0" w:color="auto"/>
        <w:right w:val="none" w:sz="0" w:space="0" w:color="auto"/>
      </w:divBdr>
    </w:div>
    <w:div w:id="959799945">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060666443">
      <w:bodyDiv w:val="1"/>
      <w:marLeft w:val="0"/>
      <w:marRight w:val="0"/>
      <w:marTop w:val="0"/>
      <w:marBottom w:val="0"/>
      <w:divBdr>
        <w:top w:val="none" w:sz="0" w:space="0" w:color="auto"/>
        <w:left w:val="none" w:sz="0" w:space="0" w:color="auto"/>
        <w:bottom w:val="none" w:sz="0" w:space="0" w:color="auto"/>
        <w:right w:val="none" w:sz="0" w:space="0" w:color="auto"/>
      </w:divBdr>
    </w:div>
    <w:div w:id="1271208394">
      <w:bodyDiv w:val="1"/>
      <w:marLeft w:val="0"/>
      <w:marRight w:val="0"/>
      <w:marTop w:val="0"/>
      <w:marBottom w:val="0"/>
      <w:divBdr>
        <w:top w:val="none" w:sz="0" w:space="0" w:color="auto"/>
        <w:left w:val="none" w:sz="0" w:space="0" w:color="auto"/>
        <w:bottom w:val="none" w:sz="0" w:space="0" w:color="auto"/>
        <w:right w:val="none" w:sz="0" w:space="0" w:color="auto"/>
      </w:divBdr>
    </w:div>
    <w:div w:id="1308512526">
      <w:bodyDiv w:val="1"/>
      <w:marLeft w:val="0"/>
      <w:marRight w:val="0"/>
      <w:marTop w:val="0"/>
      <w:marBottom w:val="0"/>
      <w:divBdr>
        <w:top w:val="none" w:sz="0" w:space="0" w:color="auto"/>
        <w:left w:val="none" w:sz="0" w:space="0" w:color="auto"/>
        <w:bottom w:val="none" w:sz="0" w:space="0" w:color="auto"/>
        <w:right w:val="none" w:sz="0" w:space="0" w:color="auto"/>
      </w:divBdr>
      <w:divsChild>
        <w:div w:id="725302482">
          <w:marLeft w:val="0"/>
          <w:marRight w:val="0"/>
          <w:marTop w:val="420"/>
          <w:marBottom w:val="0"/>
          <w:divBdr>
            <w:top w:val="none" w:sz="0" w:space="0" w:color="auto"/>
            <w:left w:val="none" w:sz="0" w:space="0" w:color="auto"/>
            <w:bottom w:val="none" w:sz="0" w:space="0" w:color="auto"/>
            <w:right w:val="none" w:sz="0" w:space="0" w:color="auto"/>
          </w:divBdr>
          <w:divsChild>
            <w:div w:id="863830728">
              <w:marLeft w:val="0"/>
              <w:marRight w:val="0"/>
              <w:marTop w:val="0"/>
              <w:marBottom w:val="0"/>
              <w:divBdr>
                <w:top w:val="none" w:sz="0" w:space="0" w:color="auto"/>
                <w:left w:val="none" w:sz="0" w:space="0" w:color="auto"/>
                <w:bottom w:val="none" w:sz="0" w:space="0" w:color="auto"/>
                <w:right w:val="none" w:sz="0" w:space="0" w:color="auto"/>
              </w:divBdr>
              <w:divsChild>
                <w:div w:id="1518736437">
                  <w:marLeft w:val="120"/>
                  <w:marRight w:val="120"/>
                  <w:marTop w:val="0"/>
                  <w:marBottom w:val="0"/>
                  <w:divBdr>
                    <w:top w:val="none" w:sz="0" w:space="0" w:color="auto"/>
                    <w:left w:val="none" w:sz="0" w:space="0" w:color="auto"/>
                    <w:bottom w:val="none" w:sz="0" w:space="0" w:color="auto"/>
                    <w:right w:val="none" w:sz="0" w:space="0" w:color="auto"/>
                  </w:divBdr>
                  <w:divsChild>
                    <w:div w:id="1884444974">
                      <w:marLeft w:val="0"/>
                      <w:marRight w:val="0"/>
                      <w:marTop w:val="0"/>
                      <w:marBottom w:val="0"/>
                      <w:divBdr>
                        <w:top w:val="none" w:sz="0" w:space="0" w:color="auto"/>
                        <w:left w:val="none" w:sz="0" w:space="0" w:color="auto"/>
                        <w:bottom w:val="none" w:sz="0" w:space="0" w:color="auto"/>
                        <w:right w:val="none" w:sz="0" w:space="0" w:color="auto"/>
                      </w:divBdr>
                      <w:divsChild>
                        <w:div w:id="1297223714">
                          <w:marLeft w:val="0"/>
                          <w:marRight w:val="0"/>
                          <w:marTop w:val="0"/>
                          <w:marBottom w:val="0"/>
                          <w:divBdr>
                            <w:top w:val="none" w:sz="0" w:space="0" w:color="auto"/>
                            <w:left w:val="none" w:sz="0" w:space="0" w:color="auto"/>
                            <w:bottom w:val="none" w:sz="0" w:space="0" w:color="auto"/>
                            <w:right w:val="none" w:sz="0" w:space="0" w:color="auto"/>
                          </w:divBdr>
                          <w:divsChild>
                            <w:div w:id="824662328">
                              <w:marLeft w:val="0"/>
                              <w:marRight w:val="0"/>
                              <w:marTop w:val="0"/>
                              <w:marBottom w:val="0"/>
                              <w:divBdr>
                                <w:top w:val="none" w:sz="0" w:space="0" w:color="auto"/>
                                <w:left w:val="none" w:sz="0" w:space="0" w:color="auto"/>
                                <w:bottom w:val="none" w:sz="0" w:space="0" w:color="auto"/>
                                <w:right w:val="none" w:sz="0" w:space="0" w:color="auto"/>
                              </w:divBdr>
                              <w:divsChild>
                                <w:div w:id="2084794981">
                                  <w:marLeft w:val="0"/>
                                  <w:marRight w:val="0"/>
                                  <w:marTop w:val="0"/>
                                  <w:marBottom w:val="0"/>
                                  <w:divBdr>
                                    <w:top w:val="none" w:sz="0" w:space="0" w:color="auto"/>
                                    <w:left w:val="none" w:sz="0" w:space="0" w:color="auto"/>
                                    <w:bottom w:val="none" w:sz="0" w:space="0" w:color="auto"/>
                                    <w:right w:val="none" w:sz="0" w:space="0" w:color="auto"/>
                                  </w:divBdr>
                                  <w:divsChild>
                                    <w:div w:id="587689434">
                                      <w:marLeft w:val="0"/>
                                      <w:marRight w:val="0"/>
                                      <w:marTop w:val="0"/>
                                      <w:marBottom w:val="0"/>
                                      <w:divBdr>
                                        <w:top w:val="none" w:sz="0" w:space="0" w:color="auto"/>
                                        <w:left w:val="none" w:sz="0" w:space="0" w:color="auto"/>
                                        <w:bottom w:val="none" w:sz="0" w:space="0" w:color="auto"/>
                                        <w:right w:val="none" w:sz="0" w:space="0" w:color="auto"/>
                                      </w:divBdr>
                                      <w:divsChild>
                                        <w:div w:id="214703287">
                                          <w:marLeft w:val="0"/>
                                          <w:marRight w:val="870"/>
                                          <w:marTop w:val="0"/>
                                          <w:marBottom w:val="0"/>
                                          <w:divBdr>
                                            <w:top w:val="none" w:sz="0" w:space="0" w:color="auto"/>
                                            <w:left w:val="none" w:sz="0" w:space="0" w:color="auto"/>
                                            <w:bottom w:val="none" w:sz="0" w:space="0" w:color="auto"/>
                                            <w:right w:val="none" w:sz="0" w:space="0" w:color="auto"/>
                                          </w:divBdr>
                                          <w:divsChild>
                                            <w:div w:id="12809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592162">
      <w:bodyDiv w:val="1"/>
      <w:marLeft w:val="0"/>
      <w:marRight w:val="0"/>
      <w:marTop w:val="0"/>
      <w:marBottom w:val="0"/>
      <w:divBdr>
        <w:top w:val="none" w:sz="0" w:space="0" w:color="auto"/>
        <w:left w:val="none" w:sz="0" w:space="0" w:color="auto"/>
        <w:bottom w:val="none" w:sz="0" w:space="0" w:color="auto"/>
        <w:right w:val="none" w:sz="0" w:space="0" w:color="auto"/>
      </w:divBdr>
    </w:div>
    <w:div w:id="214473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thplayground.com/Fraction_bars.html" TargetMode="External"/><Relationship Id="rId18" Type="http://schemas.openxmlformats.org/officeDocument/2006/relationships/image" Target="media/image2.wmf"/><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http://www.counton.org/games/map-fractions/falling/" TargetMode="External"/><Relationship Id="rId17" Type="http://schemas.openxmlformats.org/officeDocument/2006/relationships/hyperlink" Target="http://www.amathsdictionaryforkids.com/" TargetMode="External"/><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hyperlink" Target="http://intermath.coe.uga.edu/dictnary/homepg.asp" TargetMode="External"/><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ademics.com/games/dirt-bike-comparing-fractions/dirt-bike-comparing-fractions.html" TargetMode="Externa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http://connected.mcgraw-hill.com/connected/login.do" TargetMode="External"/><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hyperlink" Target="https://smart.wikispaces.hcpss.org/Grade+5+Number+and+Operations+Fractions"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mart.wikispaces.hcpss.org/iTunes+Intermediate+Apps" TargetMode="External"/><Relationship Id="rId22" Type="http://schemas.openxmlformats.org/officeDocument/2006/relationships/image" Target="media/image5.emf"/><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DL10092\LOCALS~1\Temp\TCD43.tmp\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B36F4-CCA8-4366-A24A-B60300B5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Template>
  <TotalTime>0</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6012</CharactersWithSpaces>
  <SharedDoc>false</SharedDoc>
  <HLinks>
    <vt:vector size="48" baseType="variant">
      <vt:variant>
        <vt:i4>3211377</vt:i4>
      </vt:variant>
      <vt:variant>
        <vt:i4>24</vt:i4>
      </vt:variant>
      <vt:variant>
        <vt:i4>0</vt:i4>
      </vt:variant>
      <vt:variant>
        <vt:i4>5</vt:i4>
      </vt:variant>
      <vt:variant>
        <vt:lpwstr>http://www.amathsdictionaryforkids.com/</vt:lpwstr>
      </vt:variant>
      <vt:variant>
        <vt:lpwstr/>
      </vt:variant>
      <vt:variant>
        <vt:i4>458843</vt:i4>
      </vt:variant>
      <vt:variant>
        <vt:i4>21</vt:i4>
      </vt:variant>
      <vt:variant>
        <vt:i4>0</vt:i4>
      </vt:variant>
      <vt:variant>
        <vt:i4>5</vt:i4>
      </vt:variant>
      <vt:variant>
        <vt:lpwstr>http://intermath.coe.uga.edu/dictnary/homepg.asp</vt:lpwstr>
      </vt:variant>
      <vt:variant>
        <vt:lpwstr/>
      </vt:variant>
      <vt:variant>
        <vt:i4>6750252</vt:i4>
      </vt:variant>
      <vt:variant>
        <vt:i4>18</vt:i4>
      </vt:variant>
      <vt:variant>
        <vt:i4>0</vt:i4>
      </vt:variant>
      <vt:variant>
        <vt:i4>5</vt:i4>
      </vt:variant>
      <vt:variant>
        <vt:lpwstr>http://connected.mcgraw-hill.com/connected/login.do</vt:lpwstr>
      </vt:variant>
      <vt:variant>
        <vt:lpwstr/>
      </vt:variant>
      <vt:variant>
        <vt:i4>6684709</vt:i4>
      </vt:variant>
      <vt:variant>
        <vt:i4>15</vt:i4>
      </vt:variant>
      <vt:variant>
        <vt:i4>0</vt:i4>
      </vt:variant>
      <vt:variant>
        <vt:i4>5</vt:i4>
      </vt:variant>
      <vt:variant>
        <vt:lpwstr>https://smart.wikispaces.hcpss.org/iTunes+Intermediate+Apps</vt:lpwstr>
      </vt:variant>
      <vt:variant>
        <vt:lpwstr/>
      </vt:variant>
      <vt:variant>
        <vt:i4>1769589</vt:i4>
      </vt:variant>
      <vt:variant>
        <vt:i4>12</vt:i4>
      </vt:variant>
      <vt:variant>
        <vt:i4>0</vt:i4>
      </vt:variant>
      <vt:variant>
        <vt:i4>5</vt:i4>
      </vt:variant>
      <vt:variant>
        <vt:lpwstr>http://www.mathplayground.com/Fraction_bars.html</vt:lpwstr>
      </vt:variant>
      <vt:variant>
        <vt:lpwstr/>
      </vt:variant>
      <vt:variant>
        <vt:i4>2097264</vt:i4>
      </vt:variant>
      <vt:variant>
        <vt:i4>9</vt:i4>
      </vt:variant>
      <vt:variant>
        <vt:i4>0</vt:i4>
      </vt:variant>
      <vt:variant>
        <vt:i4>5</vt:i4>
      </vt:variant>
      <vt:variant>
        <vt:lpwstr>http://www.counton.org/games/map-fractions/falling/</vt:lpwstr>
      </vt:variant>
      <vt:variant>
        <vt:lpwstr/>
      </vt:variant>
      <vt:variant>
        <vt:i4>2031694</vt:i4>
      </vt:variant>
      <vt:variant>
        <vt:i4>6</vt:i4>
      </vt:variant>
      <vt:variant>
        <vt:i4>0</vt:i4>
      </vt:variant>
      <vt:variant>
        <vt:i4>5</vt:i4>
      </vt:variant>
      <vt:variant>
        <vt:lpwstr>http://www.arcademics.com/games/dirt-bike-comparing-fractions/dirt-bike-comparing-fractions.html</vt:lpwstr>
      </vt:variant>
      <vt:variant>
        <vt:lpwstr/>
      </vt:variant>
      <vt:variant>
        <vt:i4>7864359</vt:i4>
      </vt:variant>
      <vt:variant>
        <vt:i4>3</vt:i4>
      </vt:variant>
      <vt:variant>
        <vt:i4>0</vt:i4>
      </vt:variant>
      <vt:variant>
        <vt:i4>5</vt:i4>
      </vt:variant>
      <vt:variant>
        <vt:lpwstr>https://smart.wikispaces.hcpss.org/Grade+5+Number+and+Operations+Fractions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2007-06-08T16:40:00Z</cp:lastPrinted>
  <dcterms:created xsi:type="dcterms:W3CDTF">2015-10-25T18:35:00Z</dcterms:created>
  <dcterms:modified xsi:type="dcterms:W3CDTF">2015-10-25T18:35:00Z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y fmtid="{D5CDD505-2E9C-101B-9397-08002B2CF9AE}" pid="3" name="MTWinEqns">
    <vt:bool>true</vt:bool>
  </property>
</Properties>
</file>